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t>United States Masters Application Planning Guide</w:t>
      </w:r>
    </w:p>
    <w:p>
      <w:r>
        <w:rPr>
          <w:b/>
        </w:rPr>
        <w:t>A detailed checklist and decision workbook for prospective graduate students</w:t>
      </w:r>
    </w:p>
    <w:p>
      <w:r>
        <w:t>Designed for students comparing U.S. master's programs, including international applicants who need a reliable preparation sequence.</w:t>
      </w:r>
    </w:p>
    <w:p>
      <w:pPr>
        <w:pStyle w:val="Heading1"/>
      </w:pPr>
      <w:r>
        <w:t>How to use this guide</w:t>
      </w:r>
    </w:p>
    <w:p>
      <w:r>
        <w:t>Work through the stages in order, confirm every requirement on the institution's current official page, and record decisions in the trackers. The guide explains the planning process; it does not guarantee admission, funding, visa approval, employment authorization, or degree completion.</w:t>
      </w:r>
    </w:p>
    <w:p>
      <w:pPr>
        <w:pStyle w:val="Heading2"/>
      </w:pPr>
      <w:r>
        <w:t>The central rule</w:t>
      </w:r>
    </w:p>
    <w:p>
      <w:r>
        <w:rPr>
          <w:b/>
        </w:rPr>
        <w:t xml:space="preserve">Institution-specific requirements control. </w:t>
      </w:r>
      <w:r>
        <w:t>A document or test that one university waives may be mandatory at another. Time-sensitive F-1, CPT, and OPT questions must be confirmed with the institution's designated school official and official U.S. government sources.</w:t>
      </w:r>
    </w:p>
    <w:p>
      <w:pPr>
        <w:pStyle w:val="Heading2"/>
      </w:pPr>
      <w:r>
        <w:t>Planning sequence</w:t>
      </w:r>
    </w:p>
    <w:tbl>
      <w:tblPr>
        <w:tblStyle w:val="TableGrid"/>
        <w:tblW w:type="auto" w:w="0"/>
        <w:jc w:val="center"/>
        <w:tblLook w:firstColumn="1" w:firstRow="1" w:lastColumn="0" w:lastRow="0" w:noHBand="0" w:noVBand="1" w:val="04A0"/>
      </w:tblPr>
      <w:tblGrid>
        <w:gridCol w:w="4997"/>
        <w:gridCol w:w="4997"/>
      </w:tblGrid>
      <w:tr>
        <w:trPr>
          <w:tblHeader w:val="true"/>
        </w:trPr>
        <w:tc>
          <w:tcPr>
            <w:tcW w:type="dxa" w:w="4997"/>
            <w:shd w:fill="17324D"/>
            <w:vAlign w:val="center"/>
            <w:tcMar>
              <w:top w:w="120" w:type="dxa"/>
              <w:start w:w="120" w:type="dxa"/>
              <w:bottom w:w="120" w:type="dxa"/>
              <w:end w:w="120" w:type="dxa"/>
            </w:tcMar>
          </w:tcPr>
          <w:p>
            <w:r>
              <w:rPr>
                <w:b/>
                <w:color w:val="FFFFFF"/>
                <w:sz w:val="19"/>
              </w:rPr>
              <w:t>Stage</w:t>
            </w:r>
          </w:p>
        </w:tc>
        <w:tc>
          <w:tcPr>
            <w:tcW w:type="dxa" w:w="4997"/>
            <w:shd w:fill="17324D"/>
            <w:vAlign w:val="center"/>
            <w:tcMar>
              <w:top w:w="120" w:type="dxa"/>
              <w:start w:w="120" w:type="dxa"/>
              <w:bottom w:w="120" w:type="dxa"/>
              <w:end w:w="120" w:type="dxa"/>
            </w:tcMar>
          </w:tcPr>
          <w:p>
            <w:r>
              <w:rPr>
                <w:b/>
                <w:color w:val="FFFFFF"/>
                <w:sz w:val="19"/>
              </w:rPr>
              <w:t>Primary decision</w:t>
            </w:r>
          </w:p>
        </w:tc>
      </w:tr>
      <w:tr>
        <w:tc>
          <w:tcPr>
            <w:tcW w:type="dxa" w:w="1008"/>
            <w:vAlign w:val="center"/>
            <w:tcMar>
              <w:top w:w="120" w:type="dxa"/>
              <w:start w:w="120" w:type="dxa"/>
              <w:bottom w:w="120" w:type="dxa"/>
              <w:end w:w="120" w:type="dxa"/>
            </w:tcMar>
          </w:tcPr>
          <w:p>
            <w:pPr>
              <w:spacing w:after="0"/>
            </w:pPr>
            <w:r>
              <w:rPr>
                <w:sz w:val="18"/>
              </w:rPr>
              <w:t>1</w:t>
            </w:r>
          </w:p>
        </w:tc>
        <w:tc>
          <w:tcPr>
            <w:tcW w:type="dxa" w:w="8352"/>
            <w:vAlign w:val="center"/>
            <w:tcMar>
              <w:top w:w="120" w:type="dxa"/>
              <w:start w:w="120" w:type="dxa"/>
              <w:bottom w:w="120" w:type="dxa"/>
              <w:end w:w="120" w:type="dxa"/>
            </w:tcMar>
          </w:tcPr>
          <w:p>
            <w:pPr>
              <w:spacing w:after="0"/>
            </w:pPr>
            <w:r>
              <w:rPr>
                <w:sz w:val="18"/>
              </w:rPr>
              <w:t>Define academic and career fit</w:t>
            </w:r>
          </w:p>
        </w:tc>
      </w:tr>
      <w:tr>
        <w:tc>
          <w:tcPr>
            <w:tcW w:type="dxa" w:w="1008"/>
            <w:vAlign w:val="center"/>
            <w:tcMar>
              <w:top w:w="120" w:type="dxa"/>
              <w:start w:w="120" w:type="dxa"/>
              <w:bottom w:w="120" w:type="dxa"/>
              <w:end w:w="120" w:type="dxa"/>
            </w:tcMar>
            <w:shd w:fill="F2F4F5"/>
          </w:tcPr>
          <w:p>
            <w:pPr>
              <w:spacing w:after="0"/>
            </w:pPr>
            <w:r>
              <w:rPr>
                <w:sz w:val="18"/>
              </w:rPr>
              <w:t>2</w:t>
            </w:r>
          </w:p>
        </w:tc>
        <w:tc>
          <w:tcPr>
            <w:tcW w:type="dxa" w:w="8352"/>
            <w:vAlign w:val="center"/>
            <w:tcMar>
              <w:top w:w="120" w:type="dxa"/>
              <w:start w:w="120" w:type="dxa"/>
              <w:bottom w:w="120" w:type="dxa"/>
              <w:end w:w="120" w:type="dxa"/>
            </w:tcMar>
            <w:shd w:fill="F2F4F5"/>
          </w:tcPr>
          <w:p>
            <w:pPr>
              <w:spacing w:after="0"/>
            </w:pPr>
            <w:r>
              <w:rPr>
                <w:sz w:val="18"/>
              </w:rPr>
              <w:t>Build a verified program shortlist</w:t>
            </w:r>
          </w:p>
        </w:tc>
      </w:tr>
      <w:tr>
        <w:tc>
          <w:tcPr>
            <w:tcW w:type="dxa" w:w="1008"/>
            <w:vAlign w:val="center"/>
            <w:tcMar>
              <w:top w:w="120" w:type="dxa"/>
              <w:start w:w="120" w:type="dxa"/>
              <w:bottom w:w="120" w:type="dxa"/>
              <w:end w:w="120" w:type="dxa"/>
            </w:tcMar>
          </w:tcPr>
          <w:p>
            <w:pPr>
              <w:spacing w:after="0"/>
            </w:pPr>
            <w:r>
              <w:rPr>
                <w:sz w:val="18"/>
              </w:rPr>
              <w:t>3</w:t>
            </w:r>
          </w:p>
        </w:tc>
        <w:tc>
          <w:tcPr>
            <w:tcW w:type="dxa" w:w="8352"/>
            <w:vAlign w:val="center"/>
            <w:tcMar>
              <w:top w:w="120" w:type="dxa"/>
              <w:start w:w="120" w:type="dxa"/>
              <w:bottom w:w="120" w:type="dxa"/>
              <w:end w:w="120" w:type="dxa"/>
            </w:tcMar>
          </w:tcPr>
          <w:p>
            <w:pPr>
              <w:spacing w:after="0"/>
            </w:pPr>
            <w:r>
              <w:rPr>
                <w:sz w:val="18"/>
              </w:rPr>
              <w:t>Map requirements and deadlines</w:t>
            </w:r>
          </w:p>
        </w:tc>
      </w:tr>
      <w:tr>
        <w:tc>
          <w:tcPr>
            <w:tcW w:type="dxa" w:w="1008"/>
            <w:vAlign w:val="center"/>
            <w:tcMar>
              <w:top w:w="120" w:type="dxa"/>
              <w:start w:w="120" w:type="dxa"/>
              <w:bottom w:w="120" w:type="dxa"/>
              <w:end w:w="120" w:type="dxa"/>
            </w:tcMar>
            <w:shd w:fill="F2F4F5"/>
          </w:tcPr>
          <w:p>
            <w:pPr>
              <w:spacing w:after="0"/>
            </w:pPr>
            <w:r>
              <w:rPr>
                <w:sz w:val="18"/>
              </w:rPr>
              <w:t>4</w:t>
            </w:r>
          </w:p>
        </w:tc>
        <w:tc>
          <w:tcPr>
            <w:tcW w:type="dxa" w:w="8352"/>
            <w:vAlign w:val="center"/>
            <w:tcMar>
              <w:top w:w="120" w:type="dxa"/>
              <w:start w:w="120" w:type="dxa"/>
              <w:bottom w:w="120" w:type="dxa"/>
              <w:end w:w="120" w:type="dxa"/>
            </w:tcMar>
            <w:shd w:fill="F2F4F5"/>
          </w:tcPr>
          <w:p>
            <w:pPr>
              <w:spacing w:after="0"/>
            </w:pPr>
            <w:r>
              <w:rPr>
                <w:sz w:val="18"/>
              </w:rPr>
              <w:t>Prepare evidence and applications</w:t>
            </w:r>
          </w:p>
        </w:tc>
      </w:tr>
      <w:tr>
        <w:tc>
          <w:tcPr>
            <w:tcW w:type="dxa" w:w="1008"/>
            <w:vAlign w:val="center"/>
            <w:tcMar>
              <w:top w:w="120" w:type="dxa"/>
              <w:start w:w="120" w:type="dxa"/>
              <w:bottom w:w="120" w:type="dxa"/>
              <w:end w:w="120" w:type="dxa"/>
            </w:tcMar>
          </w:tcPr>
          <w:p>
            <w:pPr>
              <w:spacing w:after="0"/>
            </w:pPr>
            <w:r>
              <w:rPr>
                <w:sz w:val="18"/>
              </w:rPr>
              <w:t>5</w:t>
            </w:r>
          </w:p>
        </w:tc>
        <w:tc>
          <w:tcPr>
            <w:tcW w:type="dxa" w:w="8352"/>
            <w:vAlign w:val="center"/>
            <w:tcMar>
              <w:top w:w="120" w:type="dxa"/>
              <w:start w:w="120" w:type="dxa"/>
              <w:bottom w:w="120" w:type="dxa"/>
              <w:end w:w="120" w:type="dxa"/>
            </w:tcMar>
          </w:tcPr>
          <w:p>
            <w:pPr>
              <w:spacing w:after="0"/>
            </w:pPr>
            <w:r>
              <w:rPr>
                <w:sz w:val="18"/>
              </w:rPr>
              <w:t>Compare decisions and funding</w:t>
            </w:r>
          </w:p>
        </w:tc>
      </w:tr>
      <w:tr>
        <w:tc>
          <w:tcPr>
            <w:tcW w:type="dxa" w:w="1008"/>
            <w:vAlign w:val="center"/>
            <w:tcMar>
              <w:top w:w="120" w:type="dxa"/>
              <w:start w:w="120" w:type="dxa"/>
              <w:bottom w:w="120" w:type="dxa"/>
              <w:end w:w="120" w:type="dxa"/>
            </w:tcMar>
            <w:shd w:fill="F2F4F5"/>
          </w:tcPr>
          <w:p>
            <w:pPr>
              <w:spacing w:after="0"/>
            </w:pPr>
            <w:r>
              <w:rPr>
                <w:sz w:val="18"/>
              </w:rPr>
              <w:t>6</w:t>
            </w:r>
          </w:p>
        </w:tc>
        <w:tc>
          <w:tcPr>
            <w:tcW w:type="dxa" w:w="8352"/>
            <w:vAlign w:val="center"/>
            <w:tcMar>
              <w:top w:w="120" w:type="dxa"/>
              <w:start w:w="120" w:type="dxa"/>
              <w:bottom w:w="120" w:type="dxa"/>
              <w:end w:w="120" w:type="dxa"/>
            </w:tcMar>
            <w:shd w:fill="F2F4F5"/>
          </w:tcPr>
          <w:p>
            <w:pPr>
              <w:spacing w:after="0"/>
            </w:pPr>
            <w:r>
              <w:rPr>
                <w:sz w:val="18"/>
              </w:rPr>
              <w:t>Complete official pre-arrival steps</w:t>
            </w:r>
          </w:p>
        </w:tc>
      </w:tr>
    </w:tbl>
    <w:p>
      <w:pPr>
        <w:spacing w:after="40"/>
      </w:pPr>
    </w:p>
    <w:p>
      <w:r>
        <w:br w:type="page"/>
      </w:r>
    </w:p>
    <w:p>
      <w:pPr>
        <w:pStyle w:val="Heading1"/>
      </w:pPr>
      <w:r>
        <w:t>1 Define the goal before choosing universities</w:t>
      </w:r>
    </w:p>
    <w:p>
      <w:r>
        <w:t>Begin with the outcome you want, then work backward to program design. A famous university is not automatically the best fit if the curriculum, cost, location, modality, prerequisites, or career support do not match your plan.</w:t>
      </w:r>
    </w:p>
    <w:tbl>
      <w:tblPr>
        <w:tblStyle w:val="TableGrid"/>
        <w:tblW w:type="auto" w:w="0"/>
        <w:jc w:val="center"/>
        <w:tblLook w:firstColumn="1" w:firstRow="1" w:lastColumn="0" w:lastRow="0" w:noHBand="0" w:noVBand="1" w:val="04A0"/>
      </w:tblPr>
      <w:tblGrid>
        <w:gridCol w:w="3331"/>
        <w:gridCol w:w="3331"/>
        <w:gridCol w:w="3331"/>
      </w:tblGrid>
      <w:tr>
        <w:trPr>
          <w:tblHeader w:val="true"/>
        </w:trPr>
        <w:tc>
          <w:tcPr>
            <w:tcW w:type="dxa" w:w="3331"/>
            <w:shd w:fill="17324D"/>
            <w:vAlign w:val="center"/>
            <w:tcMar>
              <w:top w:w="120" w:type="dxa"/>
              <w:start w:w="120" w:type="dxa"/>
              <w:bottom w:w="120" w:type="dxa"/>
              <w:end w:w="120" w:type="dxa"/>
            </w:tcMar>
          </w:tcPr>
          <w:p>
            <w:r>
              <w:rPr>
                <w:b/>
                <w:color w:val="FFFFFF"/>
                <w:sz w:val="19"/>
              </w:rPr>
              <w:t>Decision area</w:t>
            </w:r>
          </w:p>
        </w:tc>
        <w:tc>
          <w:tcPr>
            <w:tcW w:type="dxa" w:w="3331"/>
            <w:shd w:fill="17324D"/>
            <w:vAlign w:val="center"/>
            <w:tcMar>
              <w:top w:w="120" w:type="dxa"/>
              <w:start w:w="120" w:type="dxa"/>
              <w:bottom w:w="120" w:type="dxa"/>
              <w:end w:w="120" w:type="dxa"/>
            </w:tcMar>
          </w:tcPr>
          <w:p>
            <w:r>
              <w:rPr>
                <w:b/>
                <w:color w:val="FFFFFF"/>
                <w:sz w:val="19"/>
              </w:rPr>
              <w:t>Questions to answer</w:t>
            </w:r>
          </w:p>
        </w:tc>
        <w:tc>
          <w:tcPr>
            <w:tcW w:type="dxa" w:w="3331"/>
            <w:shd w:fill="17324D"/>
            <w:vAlign w:val="center"/>
            <w:tcMar>
              <w:top w:w="120" w:type="dxa"/>
              <w:start w:w="120" w:type="dxa"/>
              <w:bottom w:w="120" w:type="dxa"/>
              <w:end w:w="120" w:type="dxa"/>
            </w:tcMar>
          </w:tcPr>
          <w:p>
            <w:r>
              <w:rPr>
                <w:b/>
                <w:color w:val="FFFFFF"/>
                <w:sz w:val="19"/>
              </w:rPr>
              <w:t>Evidence to save</w:t>
            </w:r>
          </w:p>
        </w:tc>
      </w:tr>
      <w:tr>
        <w:tc>
          <w:tcPr>
            <w:tcW w:type="dxa" w:w="1656"/>
            <w:vAlign w:val="center"/>
            <w:tcMar>
              <w:top w:w="120" w:type="dxa"/>
              <w:start w:w="120" w:type="dxa"/>
              <w:bottom w:w="120" w:type="dxa"/>
              <w:end w:w="120" w:type="dxa"/>
            </w:tcMar>
          </w:tcPr>
          <w:p>
            <w:pPr>
              <w:spacing w:after="0"/>
            </w:pPr>
            <w:r>
              <w:rPr>
                <w:sz w:val="18"/>
              </w:rPr>
              <w:t>Academic fit</w:t>
            </w:r>
          </w:p>
        </w:tc>
        <w:tc>
          <w:tcPr>
            <w:tcW w:type="dxa" w:w="4320"/>
            <w:vAlign w:val="center"/>
            <w:tcMar>
              <w:top w:w="120" w:type="dxa"/>
              <w:start w:w="120" w:type="dxa"/>
              <w:bottom w:w="120" w:type="dxa"/>
              <w:end w:w="120" w:type="dxa"/>
            </w:tcMar>
          </w:tcPr>
          <w:p>
            <w:pPr>
              <w:spacing w:after="0"/>
            </w:pPr>
            <w:r>
              <w:rPr>
                <w:sz w:val="18"/>
              </w:rPr>
              <w:t>Which concentrations, required courses, capstone or thesis options support the goal?</w:t>
            </w:r>
          </w:p>
        </w:tc>
        <w:tc>
          <w:tcPr>
            <w:tcW w:type="dxa" w:w="3384"/>
            <w:vAlign w:val="center"/>
            <w:tcMar>
              <w:top w:w="120" w:type="dxa"/>
              <w:start w:w="120" w:type="dxa"/>
              <w:bottom w:w="120" w:type="dxa"/>
              <w:end w:w="120" w:type="dxa"/>
            </w:tcMar>
          </w:tcPr>
          <w:p>
            <w:pPr>
              <w:spacing w:after="0"/>
            </w:pPr>
            <w:r>
              <w:rPr>
                <w:sz w:val="18"/>
              </w:rPr>
              <w:t>Official curriculum and catalog link</w:t>
            </w:r>
          </w:p>
        </w:tc>
      </w:tr>
      <w:tr>
        <w:tc>
          <w:tcPr>
            <w:tcW w:type="dxa" w:w="1656"/>
            <w:vAlign w:val="center"/>
            <w:tcMar>
              <w:top w:w="120" w:type="dxa"/>
              <w:start w:w="120" w:type="dxa"/>
              <w:bottom w:w="120" w:type="dxa"/>
              <w:end w:w="120" w:type="dxa"/>
            </w:tcMar>
            <w:shd w:fill="F2F4F5"/>
          </w:tcPr>
          <w:p>
            <w:pPr>
              <w:spacing w:after="0"/>
            </w:pPr>
            <w:r>
              <w:rPr>
                <w:sz w:val="18"/>
              </w:rPr>
              <w:t>Career fit</w:t>
            </w:r>
          </w:p>
        </w:tc>
        <w:tc>
          <w:tcPr>
            <w:tcW w:type="dxa" w:w="4320"/>
            <w:vAlign w:val="center"/>
            <w:tcMar>
              <w:top w:w="120" w:type="dxa"/>
              <w:start w:w="120" w:type="dxa"/>
              <w:bottom w:w="120" w:type="dxa"/>
              <w:end w:w="120" w:type="dxa"/>
            </w:tcMar>
            <w:shd w:fill="F2F4F5"/>
          </w:tcPr>
          <w:p>
            <w:pPr>
              <w:spacing w:after="0"/>
            </w:pPr>
            <w:r>
              <w:rPr>
                <w:sz w:val="18"/>
              </w:rPr>
              <w:t>Which roles does the program prepare for and what practical experience is available?</w:t>
            </w:r>
          </w:p>
        </w:tc>
        <w:tc>
          <w:tcPr>
            <w:tcW w:type="dxa" w:w="3384"/>
            <w:vAlign w:val="center"/>
            <w:tcMar>
              <w:top w:w="120" w:type="dxa"/>
              <w:start w:w="120" w:type="dxa"/>
              <w:bottom w:w="120" w:type="dxa"/>
              <w:end w:w="120" w:type="dxa"/>
            </w:tcMar>
            <w:shd w:fill="F2F4F5"/>
          </w:tcPr>
          <w:p>
            <w:pPr>
              <w:spacing w:after="0"/>
            </w:pPr>
            <w:r>
              <w:rPr>
                <w:sz w:val="18"/>
              </w:rPr>
              <w:t>Career outcomes and course projects</w:t>
            </w:r>
          </w:p>
        </w:tc>
      </w:tr>
      <w:tr>
        <w:tc>
          <w:tcPr>
            <w:tcW w:type="dxa" w:w="1656"/>
            <w:vAlign w:val="center"/>
            <w:tcMar>
              <w:top w:w="120" w:type="dxa"/>
              <w:start w:w="120" w:type="dxa"/>
              <w:bottom w:w="120" w:type="dxa"/>
              <w:end w:w="120" w:type="dxa"/>
            </w:tcMar>
          </w:tcPr>
          <w:p>
            <w:pPr>
              <w:spacing w:after="0"/>
            </w:pPr>
            <w:r>
              <w:rPr>
                <w:sz w:val="18"/>
              </w:rPr>
              <w:t>Financial fit</w:t>
            </w:r>
          </w:p>
        </w:tc>
        <w:tc>
          <w:tcPr>
            <w:tcW w:type="dxa" w:w="4320"/>
            <w:vAlign w:val="center"/>
            <w:tcMar>
              <w:top w:w="120" w:type="dxa"/>
              <w:start w:w="120" w:type="dxa"/>
              <w:bottom w:w="120" w:type="dxa"/>
              <w:end w:w="120" w:type="dxa"/>
            </w:tcMar>
          </w:tcPr>
          <w:p>
            <w:pPr>
              <w:spacing w:after="0"/>
            </w:pPr>
            <w:r>
              <w:rPr>
                <w:sz w:val="18"/>
              </w:rPr>
              <w:t>What is the full estimated cost, not only tuition?</w:t>
            </w:r>
          </w:p>
        </w:tc>
        <w:tc>
          <w:tcPr>
            <w:tcW w:type="dxa" w:w="3384"/>
            <w:vAlign w:val="center"/>
            <w:tcMar>
              <w:top w:w="120" w:type="dxa"/>
              <w:start w:w="120" w:type="dxa"/>
              <w:bottom w:w="120" w:type="dxa"/>
              <w:end w:w="120" w:type="dxa"/>
            </w:tcMar>
          </w:tcPr>
          <w:p>
            <w:pPr>
              <w:spacing w:after="0"/>
            </w:pPr>
            <w:r>
              <w:rPr>
                <w:sz w:val="18"/>
              </w:rPr>
              <w:t>Tuition, fees, living estimate, funding terms</w:t>
            </w:r>
          </w:p>
        </w:tc>
      </w:tr>
      <w:tr>
        <w:tc>
          <w:tcPr>
            <w:tcW w:type="dxa" w:w="1656"/>
            <w:vAlign w:val="center"/>
            <w:tcMar>
              <w:top w:w="120" w:type="dxa"/>
              <w:start w:w="120" w:type="dxa"/>
              <w:bottom w:w="120" w:type="dxa"/>
              <w:end w:w="120" w:type="dxa"/>
            </w:tcMar>
            <w:shd w:fill="F2F4F5"/>
          </w:tcPr>
          <w:p>
            <w:pPr>
              <w:spacing w:after="0"/>
            </w:pPr>
            <w:r>
              <w:rPr>
                <w:sz w:val="18"/>
              </w:rPr>
              <w:t>International fit</w:t>
            </w:r>
          </w:p>
        </w:tc>
        <w:tc>
          <w:tcPr>
            <w:tcW w:type="dxa" w:w="4320"/>
            <w:vAlign w:val="center"/>
            <w:tcMar>
              <w:top w:w="120" w:type="dxa"/>
              <w:start w:w="120" w:type="dxa"/>
              <w:bottom w:w="120" w:type="dxa"/>
              <w:end w:w="120" w:type="dxa"/>
            </w:tcMar>
            <w:shd w:fill="F2F4F5"/>
          </w:tcPr>
          <w:p>
            <w:pPr>
              <w:spacing w:after="0"/>
            </w:pPr>
            <w:r>
              <w:rPr>
                <w:sz w:val="18"/>
              </w:rPr>
              <w:t>Is the school SEVP-certified and who is the DSO contact?</w:t>
            </w:r>
          </w:p>
        </w:tc>
        <w:tc>
          <w:tcPr>
            <w:tcW w:type="dxa" w:w="3384"/>
            <w:vAlign w:val="center"/>
            <w:tcMar>
              <w:top w:w="120" w:type="dxa"/>
              <w:start w:w="120" w:type="dxa"/>
              <w:bottom w:w="120" w:type="dxa"/>
              <w:end w:w="120" w:type="dxa"/>
            </w:tcMar>
            <w:shd w:fill="F2F4F5"/>
          </w:tcPr>
          <w:p>
            <w:pPr>
              <w:spacing w:after="0"/>
            </w:pPr>
            <w:r>
              <w:rPr>
                <w:sz w:val="18"/>
              </w:rPr>
              <w:t>Official school and international-office pages</w:t>
            </w:r>
          </w:p>
        </w:tc>
      </w:tr>
    </w:tbl>
    <w:p>
      <w:pPr>
        <w:spacing w:after="40"/>
      </w:pPr>
    </w:p>
    <w:p>
      <w:pPr>
        <w:pStyle w:val="Heading1"/>
      </w:pPr>
      <w:r>
        <w:t>2 Build and verify the shortlist</w:t>
      </w:r>
    </w:p>
    <w:p>
      <w:r>
        <w:t>Use a balanced shortlist rather than labels such as safe or guaranteed. Admission outcomes depend on the entire applicant pool and program capacity.</w:t>
      </w:r>
    </w:p>
    <w:p>
      <w:pPr>
        <w:pStyle w:val="Checklist"/>
      </w:pPr>
      <w:r>
        <w:rPr>
          <w:b/>
        </w:rPr>
        <w:t xml:space="preserve">☐  </w:t>
      </w:r>
      <w:r>
        <w:t>Create a longlist based on curriculum, prerequisites, cost, delivery format, location, research or industry opportunities, and student support.</w:t>
      </w:r>
    </w:p>
    <w:p>
      <w:pPr>
        <w:pStyle w:val="Checklist"/>
      </w:pPr>
      <w:r>
        <w:rPr>
          <w:b/>
        </w:rPr>
        <w:t xml:space="preserve">☐  </w:t>
      </w:r>
      <w:r>
        <w:t>Confirm institutional and relevant program accreditation where applicable.</w:t>
      </w:r>
    </w:p>
    <w:p>
      <w:pPr>
        <w:pStyle w:val="Checklist"/>
      </w:pPr>
      <w:r>
        <w:rPr>
          <w:b/>
        </w:rPr>
        <w:t xml:space="preserve">☐  </w:t>
      </w:r>
      <w:r>
        <w:t>For F-1 study, verify the school in the official DHS school search.</w:t>
      </w:r>
    </w:p>
    <w:p>
      <w:pPr>
        <w:pStyle w:val="Checklist"/>
      </w:pPr>
      <w:r>
        <w:rPr>
          <w:b/>
        </w:rPr>
        <w:t xml:space="preserve">☐  </w:t>
      </w:r>
      <w:r>
        <w:t>Confirm that the exact program and campus issue the appropriate Form I-20 when applicable.</w:t>
      </w:r>
    </w:p>
    <w:p>
      <w:pPr>
        <w:pStyle w:val="Checklist"/>
      </w:pPr>
      <w:r>
        <w:rPr>
          <w:b/>
        </w:rPr>
        <w:t xml:space="preserve">☐  </w:t>
      </w:r>
      <w:r>
        <w:t>Record official deadlines and whether materials must arrive by the deadline or may follow later.</w:t>
      </w:r>
    </w:p>
    <w:tbl>
      <w:tblPr>
        <w:tblStyle w:val="TableGrid"/>
        <w:tblW w:type="auto" w:w="0"/>
        <w:jc w:val="center"/>
        <w:tblLook w:firstColumn="1" w:firstRow="1" w:lastColumn="0" w:lastRow="0" w:noHBand="0" w:noVBand="1" w:val="04A0"/>
      </w:tblPr>
      <w:tblGrid>
        <w:gridCol w:w="1666"/>
        <w:gridCol w:w="1666"/>
        <w:gridCol w:w="1666"/>
        <w:gridCol w:w="1666"/>
        <w:gridCol w:w="1666"/>
        <w:gridCol w:w="1666"/>
      </w:tblGrid>
      <w:tr>
        <w:trPr>
          <w:tblHeader w:val="true"/>
        </w:trPr>
        <w:tc>
          <w:tcPr>
            <w:tcW w:type="dxa" w:w="1666"/>
            <w:shd w:fill="17324D"/>
            <w:vAlign w:val="center"/>
            <w:tcMar>
              <w:top w:w="120" w:type="dxa"/>
              <w:start w:w="120" w:type="dxa"/>
              <w:bottom w:w="120" w:type="dxa"/>
              <w:end w:w="120" w:type="dxa"/>
            </w:tcMar>
          </w:tcPr>
          <w:p>
            <w:r>
              <w:rPr>
                <w:b/>
                <w:color w:val="FFFFFF"/>
                <w:sz w:val="19"/>
              </w:rPr>
              <w:t>Program</w:t>
            </w:r>
          </w:p>
        </w:tc>
        <w:tc>
          <w:tcPr>
            <w:tcW w:type="dxa" w:w="1666"/>
            <w:shd w:fill="17324D"/>
            <w:vAlign w:val="center"/>
            <w:tcMar>
              <w:top w:w="120" w:type="dxa"/>
              <w:start w:w="120" w:type="dxa"/>
              <w:bottom w:w="120" w:type="dxa"/>
              <w:end w:w="120" w:type="dxa"/>
            </w:tcMar>
          </w:tcPr>
          <w:p>
            <w:r>
              <w:rPr>
                <w:b/>
                <w:color w:val="FFFFFF"/>
                <w:sz w:val="19"/>
              </w:rPr>
              <w:t>Deadline</w:t>
            </w:r>
          </w:p>
        </w:tc>
        <w:tc>
          <w:tcPr>
            <w:tcW w:type="dxa" w:w="1666"/>
            <w:shd w:fill="17324D"/>
            <w:vAlign w:val="center"/>
            <w:tcMar>
              <w:top w:w="120" w:type="dxa"/>
              <w:start w:w="120" w:type="dxa"/>
              <w:bottom w:w="120" w:type="dxa"/>
              <w:end w:w="120" w:type="dxa"/>
            </w:tcMar>
          </w:tcPr>
          <w:p>
            <w:r>
              <w:rPr>
                <w:b/>
                <w:color w:val="FFFFFF"/>
                <w:sz w:val="19"/>
              </w:rPr>
              <w:t>Tests</w:t>
            </w:r>
          </w:p>
        </w:tc>
        <w:tc>
          <w:tcPr>
            <w:tcW w:type="dxa" w:w="1666"/>
            <w:shd w:fill="17324D"/>
            <w:vAlign w:val="center"/>
            <w:tcMar>
              <w:top w:w="120" w:type="dxa"/>
              <w:start w:w="120" w:type="dxa"/>
              <w:bottom w:w="120" w:type="dxa"/>
              <w:end w:w="120" w:type="dxa"/>
            </w:tcMar>
          </w:tcPr>
          <w:p>
            <w:r>
              <w:rPr>
                <w:b/>
                <w:color w:val="FFFFFF"/>
                <w:sz w:val="19"/>
              </w:rPr>
              <w:t>Total cost source</w:t>
            </w:r>
          </w:p>
        </w:tc>
        <w:tc>
          <w:tcPr>
            <w:tcW w:type="dxa" w:w="1666"/>
            <w:shd w:fill="17324D"/>
            <w:vAlign w:val="center"/>
            <w:tcMar>
              <w:top w:w="120" w:type="dxa"/>
              <w:start w:w="120" w:type="dxa"/>
              <w:bottom w:w="120" w:type="dxa"/>
              <w:end w:w="120" w:type="dxa"/>
            </w:tcMar>
          </w:tcPr>
          <w:p>
            <w:r>
              <w:rPr>
                <w:b/>
                <w:color w:val="FFFFFF"/>
                <w:sz w:val="19"/>
              </w:rPr>
              <w:t>Funding</w:t>
            </w:r>
          </w:p>
        </w:tc>
        <w:tc>
          <w:tcPr>
            <w:tcW w:type="dxa" w:w="1666"/>
            <w:shd w:fill="17324D"/>
            <w:vAlign w:val="center"/>
            <w:tcMar>
              <w:top w:w="120" w:type="dxa"/>
              <w:start w:w="120" w:type="dxa"/>
              <w:bottom w:w="120" w:type="dxa"/>
              <w:end w:w="120" w:type="dxa"/>
            </w:tcMar>
          </w:tcPr>
          <w:p>
            <w:r>
              <w:rPr>
                <w:b/>
                <w:color w:val="FFFFFF"/>
                <w:sz w:val="19"/>
              </w:rPr>
              <w:t>Status</w:t>
            </w:r>
          </w:p>
        </w:tc>
      </w:tr>
      <w:tr>
        <w:tc>
          <w:tcPr>
            <w:tcW w:type="dxa" w:w="1800"/>
            <w:vAlign w:val="center"/>
            <w:tcMar>
              <w:top w:w="120" w:type="dxa"/>
              <w:start w:w="120" w:type="dxa"/>
              <w:bottom w:w="120" w:type="dxa"/>
              <w:end w:w="120" w:type="dxa"/>
            </w:tcMar>
          </w:tcPr>
          <w:p>
            <w:pPr>
              <w:spacing w:after="0"/>
            </w:pPr>
            <w:r>
              <w:rPr>
                <w:sz w:val="18"/>
              </w:rPr>
            </w:r>
          </w:p>
        </w:tc>
        <w:tc>
          <w:tcPr>
            <w:tcW w:type="dxa" w:w="1440"/>
            <w:vAlign w:val="center"/>
            <w:tcMar>
              <w:top w:w="120" w:type="dxa"/>
              <w:start w:w="120" w:type="dxa"/>
              <w:bottom w:w="120" w:type="dxa"/>
              <w:end w:w="120" w:type="dxa"/>
            </w:tcMar>
          </w:tcPr>
          <w:p>
            <w:pPr>
              <w:spacing w:after="0"/>
            </w:pPr>
            <w:r>
              <w:rPr>
                <w:sz w:val="18"/>
              </w:rPr>
            </w:r>
          </w:p>
        </w:tc>
        <w:tc>
          <w:tcPr>
            <w:tcW w:type="dxa" w:w="1440"/>
            <w:vAlign w:val="center"/>
            <w:tcMar>
              <w:top w:w="120" w:type="dxa"/>
              <w:start w:w="120" w:type="dxa"/>
              <w:bottom w:w="120" w:type="dxa"/>
              <w:end w:w="120" w:type="dxa"/>
            </w:tcMar>
          </w:tcPr>
          <w:p>
            <w:pPr>
              <w:spacing w:after="0"/>
            </w:pPr>
            <w:r>
              <w:rPr>
                <w:sz w:val="18"/>
              </w:rPr>
            </w:r>
          </w:p>
        </w:tc>
        <w:tc>
          <w:tcPr>
            <w:tcW w:type="dxa" w:w="1872"/>
            <w:vAlign w:val="center"/>
            <w:tcMar>
              <w:top w:w="120" w:type="dxa"/>
              <w:start w:w="120" w:type="dxa"/>
              <w:bottom w:w="120" w:type="dxa"/>
              <w:end w:w="120" w:type="dxa"/>
            </w:tcMar>
          </w:tcPr>
          <w:p>
            <w:pPr>
              <w:spacing w:after="0"/>
            </w:pPr>
            <w:r>
              <w:rPr>
                <w:sz w:val="18"/>
              </w:rPr>
            </w:r>
          </w:p>
        </w:tc>
        <w:tc>
          <w:tcPr>
            <w:tcW w:type="dxa" w:w="1440"/>
            <w:vAlign w:val="center"/>
            <w:tcMar>
              <w:top w:w="120" w:type="dxa"/>
              <w:start w:w="120" w:type="dxa"/>
              <w:bottom w:w="120" w:type="dxa"/>
              <w:end w:w="120" w:type="dxa"/>
            </w:tcMar>
          </w:tcPr>
          <w:p>
            <w:pPr>
              <w:spacing w:after="0"/>
            </w:pPr>
            <w:r>
              <w:rPr>
                <w:sz w:val="18"/>
              </w:rPr>
            </w:r>
          </w:p>
        </w:tc>
        <w:tc>
          <w:tcPr>
            <w:tcW w:type="dxa" w:w="1152"/>
            <w:vAlign w:val="center"/>
            <w:tcMar>
              <w:top w:w="120" w:type="dxa"/>
              <w:start w:w="120" w:type="dxa"/>
              <w:bottom w:w="120" w:type="dxa"/>
              <w:end w:w="120" w:type="dxa"/>
            </w:tcMar>
          </w:tcPr>
          <w:p>
            <w:pPr>
              <w:spacing w:after="0"/>
            </w:pPr>
            <w:r>
              <w:rPr>
                <w:sz w:val="18"/>
              </w:rPr>
            </w:r>
          </w:p>
        </w:tc>
      </w:tr>
      <w:tr>
        <w:tc>
          <w:tcPr>
            <w:tcW w:type="dxa" w:w="1800"/>
            <w:vAlign w:val="center"/>
            <w:tcMar>
              <w:top w:w="120" w:type="dxa"/>
              <w:start w:w="120" w:type="dxa"/>
              <w:bottom w:w="120" w:type="dxa"/>
              <w:end w:w="120" w:type="dxa"/>
            </w:tcMar>
            <w:shd w:fill="F2F4F5"/>
          </w:tcPr>
          <w:p>
            <w:pPr>
              <w:spacing w:after="0"/>
            </w:pPr>
            <w:r>
              <w:rPr>
                <w:sz w:val="18"/>
              </w:rPr>
            </w:r>
          </w:p>
        </w:tc>
        <w:tc>
          <w:tcPr>
            <w:tcW w:type="dxa" w:w="1440"/>
            <w:vAlign w:val="center"/>
            <w:tcMar>
              <w:top w:w="120" w:type="dxa"/>
              <w:start w:w="120" w:type="dxa"/>
              <w:bottom w:w="120" w:type="dxa"/>
              <w:end w:w="120" w:type="dxa"/>
            </w:tcMar>
            <w:shd w:fill="F2F4F5"/>
          </w:tcPr>
          <w:p>
            <w:pPr>
              <w:spacing w:after="0"/>
            </w:pPr>
            <w:r>
              <w:rPr>
                <w:sz w:val="18"/>
              </w:rPr>
            </w:r>
          </w:p>
        </w:tc>
        <w:tc>
          <w:tcPr>
            <w:tcW w:type="dxa" w:w="1440"/>
            <w:vAlign w:val="center"/>
            <w:tcMar>
              <w:top w:w="120" w:type="dxa"/>
              <w:start w:w="120" w:type="dxa"/>
              <w:bottom w:w="120" w:type="dxa"/>
              <w:end w:w="120" w:type="dxa"/>
            </w:tcMar>
            <w:shd w:fill="F2F4F5"/>
          </w:tcPr>
          <w:p>
            <w:pPr>
              <w:spacing w:after="0"/>
            </w:pPr>
            <w:r>
              <w:rPr>
                <w:sz w:val="18"/>
              </w:rPr>
            </w:r>
          </w:p>
        </w:tc>
        <w:tc>
          <w:tcPr>
            <w:tcW w:type="dxa" w:w="1872"/>
            <w:vAlign w:val="center"/>
            <w:tcMar>
              <w:top w:w="120" w:type="dxa"/>
              <w:start w:w="120" w:type="dxa"/>
              <w:bottom w:w="120" w:type="dxa"/>
              <w:end w:w="120" w:type="dxa"/>
            </w:tcMar>
            <w:shd w:fill="F2F4F5"/>
          </w:tcPr>
          <w:p>
            <w:pPr>
              <w:spacing w:after="0"/>
            </w:pPr>
            <w:r>
              <w:rPr>
                <w:sz w:val="18"/>
              </w:rPr>
            </w:r>
          </w:p>
        </w:tc>
        <w:tc>
          <w:tcPr>
            <w:tcW w:type="dxa" w:w="1440"/>
            <w:vAlign w:val="center"/>
            <w:tcMar>
              <w:top w:w="120" w:type="dxa"/>
              <w:start w:w="120" w:type="dxa"/>
              <w:bottom w:w="120" w:type="dxa"/>
              <w:end w:w="120" w:type="dxa"/>
            </w:tcMar>
            <w:shd w:fill="F2F4F5"/>
          </w:tcPr>
          <w:p>
            <w:pPr>
              <w:spacing w:after="0"/>
            </w:pPr>
            <w:r>
              <w:rPr>
                <w:sz w:val="18"/>
              </w:rPr>
            </w:r>
          </w:p>
        </w:tc>
        <w:tc>
          <w:tcPr>
            <w:tcW w:type="dxa" w:w="1152"/>
            <w:vAlign w:val="center"/>
            <w:tcMar>
              <w:top w:w="120" w:type="dxa"/>
              <w:start w:w="120" w:type="dxa"/>
              <w:bottom w:w="120" w:type="dxa"/>
              <w:end w:w="120" w:type="dxa"/>
            </w:tcMar>
            <w:shd w:fill="F2F4F5"/>
          </w:tcPr>
          <w:p>
            <w:pPr>
              <w:spacing w:after="0"/>
            </w:pPr>
            <w:r>
              <w:rPr>
                <w:sz w:val="18"/>
              </w:rPr>
            </w:r>
          </w:p>
        </w:tc>
      </w:tr>
      <w:tr>
        <w:tc>
          <w:tcPr>
            <w:tcW w:type="dxa" w:w="1800"/>
            <w:vAlign w:val="center"/>
            <w:tcMar>
              <w:top w:w="120" w:type="dxa"/>
              <w:start w:w="120" w:type="dxa"/>
              <w:bottom w:w="120" w:type="dxa"/>
              <w:end w:w="120" w:type="dxa"/>
            </w:tcMar>
          </w:tcPr>
          <w:p>
            <w:pPr>
              <w:spacing w:after="0"/>
            </w:pPr>
            <w:r>
              <w:rPr>
                <w:sz w:val="18"/>
              </w:rPr>
            </w:r>
          </w:p>
        </w:tc>
        <w:tc>
          <w:tcPr>
            <w:tcW w:type="dxa" w:w="1440"/>
            <w:vAlign w:val="center"/>
            <w:tcMar>
              <w:top w:w="120" w:type="dxa"/>
              <w:start w:w="120" w:type="dxa"/>
              <w:bottom w:w="120" w:type="dxa"/>
              <w:end w:w="120" w:type="dxa"/>
            </w:tcMar>
          </w:tcPr>
          <w:p>
            <w:pPr>
              <w:spacing w:after="0"/>
            </w:pPr>
            <w:r>
              <w:rPr>
                <w:sz w:val="18"/>
              </w:rPr>
            </w:r>
          </w:p>
        </w:tc>
        <w:tc>
          <w:tcPr>
            <w:tcW w:type="dxa" w:w="1440"/>
            <w:vAlign w:val="center"/>
            <w:tcMar>
              <w:top w:w="120" w:type="dxa"/>
              <w:start w:w="120" w:type="dxa"/>
              <w:bottom w:w="120" w:type="dxa"/>
              <w:end w:w="120" w:type="dxa"/>
            </w:tcMar>
          </w:tcPr>
          <w:p>
            <w:pPr>
              <w:spacing w:after="0"/>
            </w:pPr>
            <w:r>
              <w:rPr>
                <w:sz w:val="18"/>
              </w:rPr>
            </w:r>
          </w:p>
        </w:tc>
        <w:tc>
          <w:tcPr>
            <w:tcW w:type="dxa" w:w="1872"/>
            <w:vAlign w:val="center"/>
            <w:tcMar>
              <w:top w:w="120" w:type="dxa"/>
              <w:start w:w="120" w:type="dxa"/>
              <w:bottom w:w="120" w:type="dxa"/>
              <w:end w:w="120" w:type="dxa"/>
            </w:tcMar>
          </w:tcPr>
          <w:p>
            <w:pPr>
              <w:spacing w:after="0"/>
            </w:pPr>
            <w:r>
              <w:rPr>
                <w:sz w:val="18"/>
              </w:rPr>
            </w:r>
          </w:p>
        </w:tc>
        <w:tc>
          <w:tcPr>
            <w:tcW w:type="dxa" w:w="1440"/>
            <w:vAlign w:val="center"/>
            <w:tcMar>
              <w:top w:w="120" w:type="dxa"/>
              <w:start w:w="120" w:type="dxa"/>
              <w:bottom w:w="120" w:type="dxa"/>
              <w:end w:w="120" w:type="dxa"/>
            </w:tcMar>
          </w:tcPr>
          <w:p>
            <w:pPr>
              <w:spacing w:after="0"/>
            </w:pPr>
            <w:r>
              <w:rPr>
                <w:sz w:val="18"/>
              </w:rPr>
            </w:r>
          </w:p>
        </w:tc>
        <w:tc>
          <w:tcPr>
            <w:tcW w:type="dxa" w:w="1152"/>
            <w:vAlign w:val="center"/>
            <w:tcMar>
              <w:top w:w="120" w:type="dxa"/>
              <w:start w:w="120" w:type="dxa"/>
              <w:bottom w:w="120" w:type="dxa"/>
              <w:end w:w="120" w:type="dxa"/>
            </w:tcMar>
          </w:tcPr>
          <w:p>
            <w:pPr>
              <w:spacing w:after="0"/>
            </w:pPr>
            <w:r>
              <w:rPr>
                <w:sz w:val="18"/>
              </w:rPr>
            </w:r>
          </w:p>
        </w:tc>
      </w:tr>
    </w:tbl>
    <w:p>
      <w:pPr>
        <w:spacing w:after="40"/>
      </w:pPr>
    </w:p>
    <w:p>
      <w:pPr>
        <w:pStyle w:val="Heading1"/>
      </w:pPr>
      <w:r>
        <w:t>3 Map every requirement</w:t>
      </w:r>
    </w:p>
    <w:p>
      <w:r>
        <w:t>Requirements vary. Build one row per program and never assume a requirement from one university applies to another.</w:t>
      </w:r>
    </w:p>
    <w:tbl>
      <w:tblPr>
        <w:tblStyle w:val="TableGrid"/>
        <w:tblW w:type="auto" w:w="0"/>
        <w:jc w:val="center"/>
        <w:tblLook w:firstColumn="1" w:firstRow="1" w:lastColumn="0" w:lastRow="0" w:noHBand="0" w:noVBand="1" w:val="04A0"/>
      </w:tblPr>
      <w:tblGrid>
        <w:gridCol w:w="3331"/>
        <w:gridCol w:w="3331"/>
        <w:gridCol w:w="3331"/>
      </w:tblGrid>
      <w:tr>
        <w:trPr>
          <w:tblHeader w:val="true"/>
        </w:trPr>
        <w:tc>
          <w:tcPr>
            <w:tcW w:type="dxa" w:w="3331"/>
            <w:shd w:fill="17324D"/>
            <w:vAlign w:val="center"/>
            <w:tcMar>
              <w:top w:w="120" w:type="dxa"/>
              <w:start w:w="120" w:type="dxa"/>
              <w:bottom w:w="120" w:type="dxa"/>
              <w:end w:w="120" w:type="dxa"/>
            </w:tcMar>
          </w:tcPr>
          <w:p>
            <w:r>
              <w:rPr>
                <w:b/>
                <w:color w:val="FFFFFF"/>
                <w:sz w:val="19"/>
              </w:rPr>
              <w:t>Item</w:t>
            </w:r>
          </w:p>
        </w:tc>
        <w:tc>
          <w:tcPr>
            <w:tcW w:type="dxa" w:w="3331"/>
            <w:shd w:fill="17324D"/>
            <w:vAlign w:val="center"/>
            <w:tcMar>
              <w:top w:w="120" w:type="dxa"/>
              <w:start w:w="120" w:type="dxa"/>
              <w:bottom w:w="120" w:type="dxa"/>
              <w:end w:w="120" w:type="dxa"/>
            </w:tcMar>
          </w:tcPr>
          <w:p>
            <w:r>
              <w:rPr>
                <w:b/>
                <w:color w:val="FFFFFF"/>
                <w:sz w:val="19"/>
              </w:rPr>
              <w:t>What to verify</w:t>
            </w:r>
          </w:p>
        </w:tc>
        <w:tc>
          <w:tcPr>
            <w:tcW w:type="dxa" w:w="3331"/>
            <w:shd w:fill="17324D"/>
            <w:vAlign w:val="center"/>
            <w:tcMar>
              <w:top w:w="120" w:type="dxa"/>
              <w:start w:w="120" w:type="dxa"/>
              <w:bottom w:w="120" w:type="dxa"/>
              <w:end w:w="120" w:type="dxa"/>
            </w:tcMar>
          </w:tcPr>
          <w:p>
            <w:r>
              <w:rPr>
                <w:b/>
                <w:color w:val="FFFFFF"/>
                <w:sz w:val="19"/>
              </w:rPr>
              <w:t>Preparation action</w:t>
            </w:r>
          </w:p>
        </w:tc>
      </w:tr>
      <w:tr>
        <w:tc>
          <w:tcPr>
            <w:tcW w:type="dxa" w:w="1656"/>
            <w:vAlign w:val="center"/>
            <w:tcMar>
              <w:top w:w="120" w:type="dxa"/>
              <w:start w:w="120" w:type="dxa"/>
              <w:bottom w:w="120" w:type="dxa"/>
              <w:end w:w="120" w:type="dxa"/>
            </w:tcMar>
          </w:tcPr>
          <w:p>
            <w:pPr>
              <w:spacing w:after="0"/>
            </w:pPr>
            <w:r>
              <w:rPr>
                <w:sz w:val="18"/>
              </w:rPr>
              <w:t>Prior degree</w:t>
            </w:r>
          </w:p>
        </w:tc>
        <w:tc>
          <w:tcPr>
            <w:tcW w:type="dxa" w:w="3672"/>
            <w:vAlign w:val="center"/>
            <w:tcMar>
              <w:top w:w="120" w:type="dxa"/>
              <w:start w:w="120" w:type="dxa"/>
              <w:bottom w:w="120" w:type="dxa"/>
              <w:end w:w="120" w:type="dxa"/>
            </w:tcMar>
          </w:tcPr>
          <w:p>
            <w:pPr>
              <w:spacing w:after="0"/>
            </w:pPr>
            <w:r>
              <w:rPr>
                <w:sz w:val="18"/>
              </w:rPr>
              <w:t>Required degree, subject prerequisites, minimum academic preparation</w:t>
            </w:r>
          </w:p>
        </w:tc>
        <w:tc>
          <w:tcPr>
            <w:tcW w:type="dxa" w:w="4320"/>
            <w:vAlign w:val="center"/>
            <w:tcMar>
              <w:top w:w="120" w:type="dxa"/>
              <w:start w:w="120" w:type="dxa"/>
              <w:bottom w:w="120" w:type="dxa"/>
              <w:end w:w="120" w:type="dxa"/>
            </w:tcMar>
          </w:tcPr>
          <w:p>
            <w:pPr>
              <w:spacing w:after="0"/>
            </w:pPr>
            <w:r>
              <w:rPr>
                <w:sz w:val="18"/>
              </w:rPr>
              <w:t>Collect degree certificate and semester or consolidated records</w:t>
            </w:r>
          </w:p>
        </w:tc>
      </w:tr>
      <w:tr>
        <w:tc>
          <w:tcPr>
            <w:tcW w:type="dxa" w:w="1656"/>
            <w:vAlign w:val="center"/>
            <w:tcMar>
              <w:top w:w="120" w:type="dxa"/>
              <w:start w:w="120" w:type="dxa"/>
              <w:bottom w:w="120" w:type="dxa"/>
              <w:end w:w="120" w:type="dxa"/>
            </w:tcMar>
            <w:shd w:fill="F2F4F5"/>
          </w:tcPr>
          <w:p>
            <w:pPr>
              <w:spacing w:after="0"/>
            </w:pPr>
            <w:r>
              <w:rPr>
                <w:sz w:val="18"/>
              </w:rPr>
              <w:t>Transcripts</w:t>
            </w:r>
          </w:p>
        </w:tc>
        <w:tc>
          <w:tcPr>
            <w:tcW w:type="dxa" w:w="3672"/>
            <w:vAlign w:val="center"/>
            <w:tcMar>
              <w:top w:w="120" w:type="dxa"/>
              <w:start w:w="120" w:type="dxa"/>
              <w:bottom w:w="120" w:type="dxa"/>
              <w:end w:w="120" w:type="dxa"/>
            </w:tcMar>
            <w:shd w:fill="F2F4F5"/>
          </w:tcPr>
          <w:p>
            <w:pPr>
              <w:spacing w:after="0"/>
            </w:pPr>
            <w:r>
              <w:rPr>
                <w:sz w:val="18"/>
              </w:rPr>
              <w:t>Unofficial upload or official delivery; translations; credential evaluation</w:t>
            </w:r>
          </w:p>
        </w:tc>
        <w:tc>
          <w:tcPr>
            <w:tcW w:type="dxa" w:w="4320"/>
            <w:vAlign w:val="center"/>
            <w:tcMar>
              <w:top w:w="120" w:type="dxa"/>
              <w:start w:w="120" w:type="dxa"/>
              <w:bottom w:w="120" w:type="dxa"/>
              <w:end w:w="120" w:type="dxa"/>
            </w:tcMar>
            <w:shd w:fill="F2F4F5"/>
          </w:tcPr>
          <w:p>
            <w:pPr>
              <w:spacing w:after="0"/>
            </w:pPr>
            <w:r>
              <w:rPr>
                <w:sz w:val="18"/>
              </w:rPr>
              <w:t>Request sealed or electronic records using the specified method</w:t>
            </w:r>
          </w:p>
        </w:tc>
      </w:tr>
      <w:tr>
        <w:tc>
          <w:tcPr>
            <w:tcW w:type="dxa" w:w="1656"/>
            <w:vAlign w:val="center"/>
            <w:tcMar>
              <w:top w:w="120" w:type="dxa"/>
              <w:start w:w="120" w:type="dxa"/>
              <w:bottom w:w="120" w:type="dxa"/>
              <w:end w:w="120" w:type="dxa"/>
            </w:tcMar>
          </w:tcPr>
          <w:p>
            <w:pPr>
              <w:spacing w:after="0"/>
            </w:pPr>
            <w:r>
              <w:rPr>
                <w:sz w:val="18"/>
              </w:rPr>
              <w:t>English proficiency</w:t>
            </w:r>
          </w:p>
        </w:tc>
        <w:tc>
          <w:tcPr>
            <w:tcW w:type="dxa" w:w="3672"/>
            <w:vAlign w:val="center"/>
            <w:tcMar>
              <w:top w:w="120" w:type="dxa"/>
              <w:start w:w="120" w:type="dxa"/>
              <w:bottom w:w="120" w:type="dxa"/>
              <w:end w:w="120" w:type="dxa"/>
            </w:tcMar>
          </w:tcPr>
          <w:p>
            <w:pPr>
              <w:spacing w:after="0"/>
            </w:pPr>
            <w:r>
              <w:rPr>
                <w:sz w:val="18"/>
              </w:rPr>
              <w:t>Accepted tests, minimum section scores, waiver policy, score validity</w:t>
            </w:r>
          </w:p>
        </w:tc>
        <w:tc>
          <w:tcPr>
            <w:tcW w:type="dxa" w:w="4320"/>
            <w:vAlign w:val="center"/>
            <w:tcMar>
              <w:top w:w="120" w:type="dxa"/>
              <w:start w:w="120" w:type="dxa"/>
              <w:bottom w:w="120" w:type="dxa"/>
              <w:end w:w="120" w:type="dxa"/>
            </w:tcMar>
          </w:tcPr>
          <w:p>
            <w:pPr>
              <w:spacing w:after="0"/>
            </w:pPr>
            <w:r>
              <w:rPr>
                <w:sz w:val="18"/>
              </w:rPr>
              <w:t>Use the program's current admissions page; send official scores if required</w:t>
            </w:r>
          </w:p>
        </w:tc>
      </w:tr>
      <w:tr>
        <w:tc>
          <w:tcPr>
            <w:tcW w:type="dxa" w:w="1656"/>
            <w:vAlign w:val="center"/>
            <w:tcMar>
              <w:top w:w="120" w:type="dxa"/>
              <w:start w:w="120" w:type="dxa"/>
              <w:bottom w:w="120" w:type="dxa"/>
              <w:end w:w="120" w:type="dxa"/>
            </w:tcMar>
            <w:shd w:fill="F2F4F5"/>
          </w:tcPr>
          <w:p>
            <w:pPr>
              <w:spacing w:after="0"/>
            </w:pPr>
            <w:r>
              <w:rPr>
                <w:sz w:val="18"/>
              </w:rPr>
              <w:t>GRE or other tests</w:t>
            </w:r>
          </w:p>
        </w:tc>
        <w:tc>
          <w:tcPr>
            <w:tcW w:type="dxa" w:w="3672"/>
            <w:vAlign w:val="center"/>
            <w:tcMar>
              <w:top w:w="120" w:type="dxa"/>
              <w:start w:w="120" w:type="dxa"/>
              <w:bottom w:w="120" w:type="dxa"/>
              <w:end w:w="120" w:type="dxa"/>
            </w:tcMar>
            <w:shd w:fill="F2F4F5"/>
          </w:tcPr>
          <w:p>
            <w:pPr>
              <w:spacing w:after="0"/>
            </w:pPr>
            <w:r>
              <w:rPr>
                <w:sz w:val="18"/>
              </w:rPr>
              <w:t>Required, optional, not accepted, or department-specific</w:t>
            </w:r>
          </w:p>
        </w:tc>
        <w:tc>
          <w:tcPr>
            <w:tcW w:type="dxa" w:w="4320"/>
            <w:vAlign w:val="center"/>
            <w:tcMar>
              <w:top w:w="120" w:type="dxa"/>
              <w:start w:w="120" w:type="dxa"/>
              <w:bottom w:w="120" w:type="dxa"/>
              <w:end w:w="120" w:type="dxa"/>
            </w:tcMar>
            <w:shd w:fill="F2F4F5"/>
          </w:tcPr>
          <w:p>
            <w:pPr>
              <w:spacing w:after="0"/>
            </w:pPr>
            <w:r>
              <w:rPr>
                <w:sz w:val="18"/>
              </w:rPr>
              <w:t>Decide based on the exact program; do not rely on general university language</w:t>
            </w:r>
          </w:p>
        </w:tc>
      </w:tr>
      <w:tr>
        <w:tc>
          <w:tcPr>
            <w:tcW w:type="dxa" w:w="1656"/>
            <w:vAlign w:val="center"/>
            <w:tcMar>
              <w:top w:w="120" w:type="dxa"/>
              <w:start w:w="120" w:type="dxa"/>
              <w:bottom w:w="120" w:type="dxa"/>
              <w:end w:w="120" w:type="dxa"/>
            </w:tcMar>
          </w:tcPr>
          <w:p>
            <w:pPr>
              <w:spacing w:after="0"/>
            </w:pPr>
            <w:r>
              <w:rPr>
                <w:sz w:val="18"/>
              </w:rPr>
              <w:t>Statement</w:t>
            </w:r>
          </w:p>
        </w:tc>
        <w:tc>
          <w:tcPr>
            <w:tcW w:type="dxa" w:w="3672"/>
            <w:vAlign w:val="center"/>
            <w:tcMar>
              <w:top w:w="120" w:type="dxa"/>
              <w:start w:w="120" w:type="dxa"/>
              <w:bottom w:w="120" w:type="dxa"/>
              <w:end w:w="120" w:type="dxa"/>
            </w:tcMar>
          </w:tcPr>
          <w:p>
            <w:pPr>
              <w:spacing w:after="0"/>
            </w:pPr>
            <w:r>
              <w:rPr>
                <w:sz w:val="18"/>
              </w:rPr>
              <w:t>Prompt, length, formatting, and required topics</w:t>
            </w:r>
          </w:p>
        </w:tc>
        <w:tc>
          <w:tcPr>
            <w:tcW w:type="dxa" w:w="4320"/>
            <w:vAlign w:val="center"/>
            <w:tcMar>
              <w:top w:w="120" w:type="dxa"/>
              <w:start w:w="120" w:type="dxa"/>
              <w:bottom w:w="120" w:type="dxa"/>
              <w:end w:w="120" w:type="dxa"/>
            </w:tcMar>
          </w:tcPr>
          <w:p>
            <w:pPr>
              <w:spacing w:after="0"/>
            </w:pPr>
            <w:r>
              <w:rPr>
                <w:sz w:val="18"/>
              </w:rPr>
              <w:t>Write a program-specific statement connecting preparation, fit, and goals</w:t>
            </w:r>
          </w:p>
        </w:tc>
      </w:tr>
      <w:tr>
        <w:tc>
          <w:tcPr>
            <w:tcW w:type="dxa" w:w="1656"/>
            <w:vAlign w:val="center"/>
            <w:tcMar>
              <w:top w:w="120" w:type="dxa"/>
              <w:start w:w="120" w:type="dxa"/>
              <w:bottom w:w="120" w:type="dxa"/>
              <w:end w:w="120" w:type="dxa"/>
            </w:tcMar>
            <w:shd w:fill="F2F4F5"/>
          </w:tcPr>
          <w:p>
            <w:pPr>
              <w:spacing w:after="0"/>
            </w:pPr>
            <w:r>
              <w:rPr>
                <w:sz w:val="18"/>
              </w:rPr>
              <w:t>Recommendations</w:t>
            </w:r>
          </w:p>
        </w:tc>
        <w:tc>
          <w:tcPr>
            <w:tcW w:type="dxa" w:w="3672"/>
            <w:vAlign w:val="center"/>
            <w:tcMar>
              <w:top w:w="120" w:type="dxa"/>
              <w:start w:w="120" w:type="dxa"/>
              <w:bottom w:w="120" w:type="dxa"/>
              <w:end w:w="120" w:type="dxa"/>
            </w:tcMar>
            <w:shd w:fill="F2F4F5"/>
          </w:tcPr>
          <w:p>
            <w:pPr>
              <w:spacing w:after="0"/>
            </w:pPr>
            <w:r>
              <w:rPr>
                <w:sz w:val="18"/>
              </w:rPr>
              <w:t>Count, recommender type, submission method, deadline</w:t>
            </w:r>
          </w:p>
        </w:tc>
        <w:tc>
          <w:tcPr>
            <w:tcW w:type="dxa" w:w="4320"/>
            <w:vAlign w:val="center"/>
            <w:tcMar>
              <w:top w:w="120" w:type="dxa"/>
              <w:start w:w="120" w:type="dxa"/>
              <w:bottom w:w="120" w:type="dxa"/>
              <w:end w:w="120" w:type="dxa"/>
            </w:tcMar>
            <w:shd w:fill="F2F4F5"/>
          </w:tcPr>
          <w:p>
            <w:pPr>
              <w:spacing w:after="0"/>
            </w:pPr>
            <w:r>
              <w:rPr>
                <w:sz w:val="18"/>
              </w:rPr>
              <w:t>Ask early; provide resume, goals, and deadline list</w:t>
            </w:r>
          </w:p>
        </w:tc>
      </w:tr>
      <w:tr>
        <w:tc>
          <w:tcPr>
            <w:tcW w:type="dxa" w:w="1656"/>
            <w:vAlign w:val="center"/>
            <w:tcMar>
              <w:top w:w="120" w:type="dxa"/>
              <w:start w:w="120" w:type="dxa"/>
              <w:bottom w:w="120" w:type="dxa"/>
              <w:end w:w="120" w:type="dxa"/>
            </w:tcMar>
          </w:tcPr>
          <w:p>
            <w:pPr>
              <w:spacing w:after="0"/>
            </w:pPr>
            <w:r>
              <w:rPr>
                <w:sz w:val="18"/>
              </w:rPr>
              <w:t>Resume</w:t>
            </w:r>
          </w:p>
        </w:tc>
        <w:tc>
          <w:tcPr>
            <w:tcW w:type="dxa" w:w="3672"/>
            <w:vAlign w:val="center"/>
            <w:tcMar>
              <w:top w:w="120" w:type="dxa"/>
              <w:start w:w="120" w:type="dxa"/>
              <w:bottom w:w="120" w:type="dxa"/>
              <w:end w:w="120" w:type="dxa"/>
            </w:tcMar>
          </w:tcPr>
          <w:p>
            <w:pPr>
              <w:spacing w:after="0"/>
            </w:pPr>
            <w:r>
              <w:rPr>
                <w:sz w:val="18"/>
              </w:rPr>
              <w:t>Length and requested academic or professional emphasis</w:t>
            </w:r>
          </w:p>
        </w:tc>
        <w:tc>
          <w:tcPr>
            <w:tcW w:type="dxa" w:w="4320"/>
            <w:vAlign w:val="center"/>
            <w:tcMar>
              <w:top w:w="120" w:type="dxa"/>
              <w:start w:w="120" w:type="dxa"/>
              <w:bottom w:w="120" w:type="dxa"/>
              <w:end w:w="120" w:type="dxa"/>
            </w:tcMar>
          </w:tcPr>
          <w:p>
            <w:pPr>
              <w:spacing w:after="0"/>
            </w:pPr>
            <w:r>
              <w:rPr>
                <w:sz w:val="18"/>
              </w:rPr>
              <w:t>Use evidence-based bullets and consistent dates</w:t>
            </w:r>
          </w:p>
        </w:tc>
      </w:tr>
      <w:tr>
        <w:tc>
          <w:tcPr>
            <w:tcW w:type="dxa" w:w="1656"/>
            <w:vAlign w:val="center"/>
            <w:tcMar>
              <w:top w:w="120" w:type="dxa"/>
              <w:start w:w="120" w:type="dxa"/>
              <w:bottom w:w="120" w:type="dxa"/>
              <w:end w:w="120" w:type="dxa"/>
            </w:tcMar>
            <w:shd w:fill="F2F4F5"/>
          </w:tcPr>
          <w:p>
            <w:pPr>
              <w:spacing w:after="0"/>
            </w:pPr>
            <w:r>
              <w:rPr>
                <w:sz w:val="18"/>
              </w:rPr>
              <w:t>Portfolio or writing</w:t>
            </w:r>
          </w:p>
        </w:tc>
        <w:tc>
          <w:tcPr>
            <w:tcW w:type="dxa" w:w="3672"/>
            <w:vAlign w:val="center"/>
            <w:tcMar>
              <w:top w:w="120" w:type="dxa"/>
              <w:start w:w="120" w:type="dxa"/>
              <w:bottom w:w="120" w:type="dxa"/>
              <w:end w:w="120" w:type="dxa"/>
            </w:tcMar>
            <w:shd w:fill="F2F4F5"/>
          </w:tcPr>
          <w:p>
            <w:pPr>
              <w:spacing w:after="0"/>
            </w:pPr>
            <w:r>
              <w:rPr>
                <w:sz w:val="18"/>
              </w:rPr>
              <w:t>Samples, GitHub, publications, prerequisite proof</w:t>
            </w:r>
          </w:p>
        </w:tc>
        <w:tc>
          <w:tcPr>
            <w:tcW w:type="dxa" w:w="4320"/>
            <w:vAlign w:val="center"/>
            <w:tcMar>
              <w:top w:w="120" w:type="dxa"/>
              <w:start w:w="120" w:type="dxa"/>
              <w:bottom w:w="120" w:type="dxa"/>
              <w:end w:w="120" w:type="dxa"/>
            </w:tcMar>
            <w:shd w:fill="F2F4F5"/>
          </w:tcPr>
          <w:p>
            <w:pPr>
              <w:spacing w:after="0"/>
            </w:pPr>
            <w:r>
              <w:rPr>
                <w:sz w:val="18"/>
              </w:rPr>
              <w:t>Select relevant work and explain individual contribution</w:t>
            </w:r>
          </w:p>
        </w:tc>
      </w:tr>
    </w:tbl>
    <w:p>
      <w:pPr>
        <w:spacing w:after="40"/>
      </w:pPr>
    </w:p>
    <w:p>
      <w:pPr>
        <w:pStyle w:val="Heading1"/>
      </w:pPr>
      <w:r>
        <w:t>4 Prepare the application evidence</w:t>
      </w:r>
    </w:p>
    <w:p>
      <w:pPr>
        <w:pStyle w:val="Checklist"/>
      </w:pPr>
      <w:r>
        <w:rPr>
          <w:b/>
        </w:rPr>
        <w:t xml:space="preserve">☐  </w:t>
      </w:r>
      <w:r>
        <w:t>Legal name matches passport and application records.</w:t>
      </w:r>
    </w:p>
    <w:p>
      <w:pPr>
        <w:pStyle w:val="Checklist"/>
      </w:pPr>
      <w:r>
        <w:rPr>
          <w:b/>
        </w:rPr>
        <w:t xml:space="preserve">☐  </w:t>
      </w:r>
      <w:r>
        <w:t>Academic history is complete and consistent across forms, resume, and statement.</w:t>
      </w:r>
    </w:p>
    <w:p>
      <w:pPr>
        <w:pStyle w:val="Checklist"/>
      </w:pPr>
      <w:r>
        <w:rPr>
          <w:b/>
        </w:rPr>
        <w:t xml:space="preserve">☐  </w:t>
      </w:r>
      <w:r>
        <w:t>Statement directly answers the program's prompt rather than reusing generic text.</w:t>
      </w:r>
    </w:p>
    <w:p>
      <w:pPr>
        <w:pStyle w:val="Checklist"/>
      </w:pPr>
      <w:r>
        <w:rPr>
          <w:b/>
        </w:rPr>
        <w:t xml:space="preserve">☐  </w:t>
      </w:r>
      <w:r>
        <w:t>Resume distinguishes team outcomes from personal contributions.</w:t>
      </w:r>
    </w:p>
    <w:p>
      <w:pPr>
        <w:pStyle w:val="Checklist"/>
      </w:pPr>
      <w:r>
        <w:rPr>
          <w:b/>
        </w:rPr>
        <w:t xml:space="preserve">☐  </w:t>
      </w:r>
      <w:r>
        <w:t>Recommendation writers have enough time and clear submission instructions.</w:t>
      </w:r>
    </w:p>
    <w:p>
      <w:pPr>
        <w:pStyle w:val="Checklist"/>
      </w:pPr>
      <w:r>
        <w:rPr>
          <w:b/>
        </w:rPr>
        <w:t xml:space="preserve">☐  </w:t>
      </w:r>
      <w:r>
        <w:t>Test scores and transcript delivery are ordered only after confirming the required channel.</w:t>
      </w:r>
    </w:p>
    <w:p>
      <w:pPr>
        <w:pStyle w:val="Checklist"/>
      </w:pPr>
      <w:r>
        <w:rPr>
          <w:b/>
        </w:rPr>
        <w:t xml:space="preserve">☐  </w:t>
      </w:r>
      <w:r>
        <w:t>Every uploaded file opens, is readable, and uses a professional filename.</w:t>
      </w:r>
    </w:p>
    <w:p>
      <w:pPr>
        <w:pStyle w:val="Checklist"/>
      </w:pPr>
      <w:r>
        <w:rPr>
          <w:b/>
        </w:rPr>
        <w:t xml:space="preserve">☐  </w:t>
      </w:r>
      <w:r>
        <w:t>A private copy of the submitted application and confirmation is saved.</w:t>
      </w:r>
    </w:p>
    <w:p>
      <w:pPr>
        <w:pStyle w:val="Heading1"/>
      </w:pPr>
      <w:r>
        <w:t>5 Compare cost and funding</w:t>
      </w:r>
    </w:p>
    <w:p>
      <w:r>
        <w:t>Compare the complete cost of attendance and the conditions attached to funding. Do not treat an assistantship mentioned on a marketing page as guaranteed.</w:t>
      </w:r>
    </w:p>
    <w:tbl>
      <w:tblPr>
        <w:tblStyle w:val="TableGrid"/>
        <w:tblW w:type="auto" w:w="0"/>
        <w:jc w:val="center"/>
        <w:tblLook w:firstColumn="1" w:firstRow="1" w:lastColumn="0" w:lastRow="0" w:noHBand="0" w:noVBand="1" w:val="04A0"/>
      </w:tblPr>
      <w:tblGrid>
        <w:gridCol w:w="4997"/>
        <w:gridCol w:w="4997"/>
      </w:tblGrid>
      <w:tr>
        <w:trPr>
          <w:tblHeader w:val="true"/>
        </w:trPr>
        <w:tc>
          <w:tcPr>
            <w:tcW w:type="dxa" w:w="4997"/>
            <w:shd w:fill="17324D"/>
            <w:vAlign w:val="center"/>
            <w:tcMar>
              <w:top w:w="120" w:type="dxa"/>
              <w:start w:w="120" w:type="dxa"/>
              <w:bottom w:w="120" w:type="dxa"/>
              <w:end w:w="120" w:type="dxa"/>
            </w:tcMar>
          </w:tcPr>
          <w:p>
            <w:r>
              <w:rPr>
                <w:b/>
                <w:color w:val="FFFFFF"/>
                <w:sz w:val="19"/>
              </w:rPr>
              <w:t>Cost or support</w:t>
            </w:r>
          </w:p>
        </w:tc>
        <w:tc>
          <w:tcPr>
            <w:tcW w:type="dxa" w:w="4997"/>
            <w:shd w:fill="17324D"/>
            <w:vAlign w:val="center"/>
            <w:tcMar>
              <w:top w:w="120" w:type="dxa"/>
              <w:start w:w="120" w:type="dxa"/>
              <w:bottom w:w="120" w:type="dxa"/>
              <w:end w:w="120" w:type="dxa"/>
            </w:tcMar>
          </w:tcPr>
          <w:p>
            <w:r>
              <w:rPr>
                <w:b/>
                <w:color w:val="FFFFFF"/>
                <w:sz w:val="19"/>
              </w:rPr>
              <w:t>Questions</w:t>
            </w:r>
          </w:p>
        </w:tc>
      </w:tr>
      <w:tr>
        <w:tc>
          <w:tcPr>
            <w:tcW w:type="dxa" w:w="2232"/>
            <w:vAlign w:val="center"/>
            <w:tcMar>
              <w:top w:w="120" w:type="dxa"/>
              <w:start w:w="120" w:type="dxa"/>
              <w:bottom w:w="120" w:type="dxa"/>
              <w:end w:w="120" w:type="dxa"/>
            </w:tcMar>
          </w:tcPr>
          <w:p>
            <w:pPr>
              <w:spacing w:after="0"/>
            </w:pPr>
            <w:r>
              <w:rPr>
                <w:sz w:val="18"/>
              </w:rPr>
              <w:t>Tuition and fees</w:t>
            </w:r>
          </w:p>
        </w:tc>
        <w:tc>
          <w:tcPr>
            <w:tcW w:type="dxa" w:w="7272"/>
            <w:vAlign w:val="center"/>
            <w:tcMar>
              <w:top w:w="120" w:type="dxa"/>
              <w:start w:w="120" w:type="dxa"/>
              <w:bottom w:w="120" w:type="dxa"/>
              <w:end w:w="120" w:type="dxa"/>
            </w:tcMar>
          </w:tcPr>
          <w:p>
            <w:pPr>
              <w:spacing w:after="0"/>
            </w:pPr>
            <w:r>
              <w:rPr>
                <w:sz w:val="18"/>
              </w:rPr>
              <w:t>Per credit or term? How many credits? Differential or mandatory fees?</w:t>
            </w:r>
          </w:p>
        </w:tc>
      </w:tr>
      <w:tr>
        <w:tc>
          <w:tcPr>
            <w:tcW w:type="dxa" w:w="2232"/>
            <w:vAlign w:val="center"/>
            <w:tcMar>
              <w:top w:w="120" w:type="dxa"/>
              <w:start w:w="120" w:type="dxa"/>
              <w:bottom w:w="120" w:type="dxa"/>
              <w:end w:w="120" w:type="dxa"/>
            </w:tcMar>
            <w:shd w:fill="F2F4F5"/>
          </w:tcPr>
          <w:p>
            <w:pPr>
              <w:spacing w:after="0"/>
            </w:pPr>
            <w:r>
              <w:rPr>
                <w:sz w:val="18"/>
              </w:rPr>
              <w:t>Living costs</w:t>
            </w:r>
          </w:p>
        </w:tc>
        <w:tc>
          <w:tcPr>
            <w:tcW w:type="dxa" w:w="7272"/>
            <w:vAlign w:val="center"/>
            <w:tcMar>
              <w:top w:w="120" w:type="dxa"/>
              <w:start w:w="120" w:type="dxa"/>
              <w:bottom w:w="120" w:type="dxa"/>
              <w:end w:w="120" w:type="dxa"/>
            </w:tcMar>
            <w:shd w:fill="F2F4F5"/>
          </w:tcPr>
          <w:p>
            <w:pPr>
              <w:spacing w:after="0"/>
            </w:pPr>
            <w:r>
              <w:rPr>
                <w:sz w:val="18"/>
              </w:rPr>
              <w:t>Housing, food, transport, insurance, books, deposits, and personal expenses?</w:t>
            </w:r>
          </w:p>
        </w:tc>
      </w:tr>
      <w:tr>
        <w:tc>
          <w:tcPr>
            <w:tcW w:type="dxa" w:w="2232"/>
            <w:vAlign w:val="center"/>
            <w:tcMar>
              <w:top w:w="120" w:type="dxa"/>
              <w:start w:w="120" w:type="dxa"/>
              <w:bottom w:w="120" w:type="dxa"/>
              <w:end w:w="120" w:type="dxa"/>
            </w:tcMar>
          </w:tcPr>
          <w:p>
            <w:pPr>
              <w:spacing w:after="0"/>
            </w:pPr>
            <w:r>
              <w:rPr>
                <w:sz w:val="18"/>
              </w:rPr>
              <w:t>Scholarship</w:t>
            </w:r>
          </w:p>
        </w:tc>
        <w:tc>
          <w:tcPr>
            <w:tcW w:type="dxa" w:w="7272"/>
            <w:vAlign w:val="center"/>
            <w:tcMar>
              <w:top w:w="120" w:type="dxa"/>
              <w:start w:w="120" w:type="dxa"/>
              <w:bottom w:w="120" w:type="dxa"/>
              <w:end w:w="120" w:type="dxa"/>
            </w:tcMar>
          </w:tcPr>
          <w:p>
            <w:pPr>
              <w:spacing w:after="0"/>
            </w:pPr>
            <w:r>
              <w:rPr>
                <w:sz w:val="18"/>
              </w:rPr>
              <w:t>Renewable? Minimum enrollment or GPA? Applied automatically or separately?</w:t>
            </w:r>
          </w:p>
        </w:tc>
      </w:tr>
      <w:tr>
        <w:tc>
          <w:tcPr>
            <w:tcW w:type="dxa" w:w="2232"/>
            <w:vAlign w:val="center"/>
            <w:tcMar>
              <w:top w:w="120" w:type="dxa"/>
              <w:start w:w="120" w:type="dxa"/>
              <w:bottom w:w="120" w:type="dxa"/>
              <w:end w:w="120" w:type="dxa"/>
            </w:tcMar>
            <w:shd w:fill="F2F4F5"/>
          </w:tcPr>
          <w:p>
            <w:pPr>
              <w:spacing w:after="0"/>
            </w:pPr>
            <w:r>
              <w:rPr>
                <w:sz w:val="18"/>
              </w:rPr>
              <w:t>Assistantship</w:t>
            </w:r>
          </w:p>
        </w:tc>
        <w:tc>
          <w:tcPr>
            <w:tcW w:type="dxa" w:w="7272"/>
            <w:vAlign w:val="center"/>
            <w:tcMar>
              <w:top w:w="120" w:type="dxa"/>
              <w:start w:w="120" w:type="dxa"/>
              <w:bottom w:w="120" w:type="dxa"/>
              <w:end w:w="120" w:type="dxa"/>
            </w:tcMar>
            <w:shd w:fill="F2F4F5"/>
          </w:tcPr>
          <w:p>
            <w:pPr>
              <w:spacing w:after="0"/>
            </w:pPr>
            <w:r>
              <w:rPr>
                <w:sz w:val="18"/>
              </w:rPr>
              <w:t>Duties, hours, stipend, tuition remission, health benefit, duration, and renewal conditions?</w:t>
            </w:r>
          </w:p>
        </w:tc>
      </w:tr>
      <w:tr>
        <w:tc>
          <w:tcPr>
            <w:tcW w:type="dxa" w:w="2232"/>
            <w:vAlign w:val="center"/>
            <w:tcMar>
              <w:top w:w="120" w:type="dxa"/>
              <w:start w:w="120" w:type="dxa"/>
              <w:bottom w:w="120" w:type="dxa"/>
              <w:end w:w="120" w:type="dxa"/>
            </w:tcMar>
          </w:tcPr>
          <w:p>
            <w:pPr>
              <w:spacing w:after="0"/>
            </w:pPr>
            <w:r>
              <w:rPr>
                <w:sz w:val="18"/>
              </w:rPr>
              <w:t>Loan or sponsor</w:t>
            </w:r>
          </w:p>
        </w:tc>
        <w:tc>
          <w:tcPr>
            <w:tcW w:type="dxa" w:w="7272"/>
            <w:vAlign w:val="center"/>
            <w:tcMar>
              <w:top w:w="120" w:type="dxa"/>
              <w:start w:w="120" w:type="dxa"/>
              <w:bottom w:w="120" w:type="dxa"/>
              <w:end w:w="120" w:type="dxa"/>
            </w:tcMar>
          </w:tcPr>
          <w:p>
            <w:pPr>
              <w:spacing w:after="0"/>
            </w:pPr>
            <w:r>
              <w:rPr>
                <w:sz w:val="18"/>
              </w:rPr>
              <w:t>Currency and interest risk, repayment terms, proof-of-funds requirements, and contingencies?</w:t>
            </w:r>
          </w:p>
        </w:tc>
      </w:tr>
    </w:tbl>
    <w:p>
      <w:pPr>
        <w:spacing w:after="40"/>
      </w:pPr>
    </w:p>
    <w:tbl>
      <w:tblPr>
        <w:tblStyle w:val="TableGrid"/>
        <w:tblW w:type="auto" w:w="0"/>
        <w:jc w:val="center"/>
        <w:tblLook w:firstColumn="1" w:firstRow="1" w:lastColumn="0" w:lastRow="0" w:noHBand="0" w:noVBand="1" w:val="04A0"/>
      </w:tblPr>
      <w:tblGrid>
        <w:gridCol w:w="1999"/>
        <w:gridCol w:w="1999"/>
        <w:gridCol w:w="1999"/>
        <w:gridCol w:w="1999"/>
        <w:gridCol w:w="1999"/>
      </w:tblGrid>
      <w:tr>
        <w:trPr>
          <w:tblHeader w:val="true"/>
        </w:trPr>
        <w:tc>
          <w:tcPr>
            <w:tcW w:type="dxa" w:w="1999"/>
            <w:shd w:fill="17324D"/>
            <w:vAlign w:val="center"/>
            <w:tcMar>
              <w:top w:w="120" w:type="dxa"/>
              <w:start w:w="120" w:type="dxa"/>
              <w:bottom w:w="120" w:type="dxa"/>
              <w:end w:w="120" w:type="dxa"/>
            </w:tcMar>
          </w:tcPr>
          <w:p>
            <w:r>
              <w:rPr>
                <w:b/>
                <w:color w:val="FFFFFF"/>
                <w:sz w:val="19"/>
              </w:rPr>
              <w:t>Offer</w:t>
            </w:r>
          </w:p>
        </w:tc>
        <w:tc>
          <w:tcPr>
            <w:tcW w:type="dxa" w:w="1999"/>
            <w:shd w:fill="17324D"/>
            <w:vAlign w:val="center"/>
            <w:tcMar>
              <w:top w:w="120" w:type="dxa"/>
              <w:start w:w="120" w:type="dxa"/>
              <w:bottom w:w="120" w:type="dxa"/>
              <w:end w:w="120" w:type="dxa"/>
            </w:tcMar>
          </w:tcPr>
          <w:p>
            <w:r>
              <w:rPr>
                <w:b/>
                <w:color w:val="FFFFFF"/>
                <w:sz w:val="19"/>
              </w:rPr>
              <w:t>Estimated total</w:t>
            </w:r>
          </w:p>
        </w:tc>
        <w:tc>
          <w:tcPr>
            <w:tcW w:type="dxa" w:w="1999"/>
            <w:shd w:fill="17324D"/>
            <w:vAlign w:val="center"/>
            <w:tcMar>
              <w:top w:w="120" w:type="dxa"/>
              <w:start w:w="120" w:type="dxa"/>
              <w:bottom w:w="120" w:type="dxa"/>
              <w:end w:w="120" w:type="dxa"/>
            </w:tcMar>
          </w:tcPr>
          <w:p>
            <w:r>
              <w:rPr>
                <w:b/>
                <w:color w:val="FFFFFF"/>
                <w:sz w:val="19"/>
              </w:rPr>
              <w:t>Confirmed funding</w:t>
            </w:r>
          </w:p>
        </w:tc>
        <w:tc>
          <w:tcPr>
            <w:tcW w:type="dxa" w:w="1999"/>
            <w:shd w:fill="17324D"/>
            <w:vAlign w:val="center"/>
            <w:tcMar>
              <w:top w:w="120" w:type="dxa"/>
              <w:start w:w="120" w:type="dxa"/>
              <w:bottom w:w="120" w:type="dxa"/>
              <w:end w:w="120" w:type="dxa"/>
            </w:tcMar>
          </w:tcPr>
          <w:p>
            <w:r>
              <w:rPr>
                <w:b/>
                <w:color w:val="FFFFFF"/>
                <w:sz w:val="19"/>
              </w:rPr>
              <w:t>Net estimate</w:t>
            </w:r>
          </w:p>
        </w:tc>
        <w:tc>
          <w:tcPr>
            <w:tcW w:type="dxa" w:w="1999"/>
            <w:shd w:fill="17324D"/>
            <w:vAlign w:val="center"/>
            <w:tcMar>
              <w:top w:w="120" w:type="dxa"/>
              <w:start w:w="120" w:type="dxa"/>
              <w:bottom w:w="120" w:type="dxa"/>
              <w:end w:w="120" w:type="dxa"/>
            </w:tcMar>
          </w:tcPr>
          <w:p>
            <w:r>
              <w:rPr>
                <w:b/>
                <w:color w:val="FFFFFF"/>
                <w:sz w:val="19"/>
              </w:rPr>
              <w:t>Conditions or uncertainty</w:t>
            </w:r>
          </w:p>
        </w:tc>
      </w:tr>
      <w:tr>
        <w:tc>
          <w:tcPr>
            <w:tcW w:type="dxa" w:w="1800"/>
            <w:vAlign w:val="center"/>
            <w:tcMar>
              <w:top w:w="120" w:type="dxa"/>
              <w:start w:w="120" w:type="dxa"/>
              <w:bottom w:w="120" w:type="dxa"/>
              <w:end w:w="120" w:type="dxa"/>
            </w:tcMar>
          </w:tcPr>
          <w:p>
            <w:pPr>
              <w:spacing w:after="0"/>
            </w:pPr>
            <w:r>
              <w:rPr>
                <w:sz w:val="18"/>
              </w:rPr>
            </w:r>
          </w:p>
        </w:tc>
        <w:tc>
          <w:tcPr>
            <w:tcW w:type="dxa" w:w="1800"/>
            <w:vAlign w:val="center"/>
            <w:tcMar>
              <w:top w:w="120" w:type="dxa"/>
              <w:start w:w="120" w:type="dxa"/>
              <w:bottom w:w="120" w:type="dxa"/>
              <w:end w:w="120" w:type="dxa"/>
            </w:tcMar>
          </w:tcPr>
          <w:p>
            <w:pPr>
              <w:spacing w:after="0"/>
            </w:pPr>
            <w:r>
              <w:rPr>
                <w:sz w:val="18"/>
              </w:rPr>
            </w:r>
          </w:p>
        </w:tc>
        <w:tc>
          <w:tcPr>
            <w:tcW w:type="dxa" w:w="1944"/>
            <w:vAlign w:val="center"/>
            <w:tcMar>
              <w:top w:w="120" w:type="dxa"/>
              <w:start w:w="120" w:type="dxa"/>
              <w:bottom w:w="120" w:type="dxa"/>
              <w:end w:w="120" w:type="dxa"/>
            </w:tcMar>
          </w:tcPr>
          <w:p>
            <w:pPr>
              <w:spacing w:after="0"/>
            </w:pPr>
            <w:r>
              <w:rPr>
                <w:sz w:val="18"/>
              </w:rPr>
            </w:r>
          </w:p>
        </w:tc>
        <w:tc>
          <w:tcPr>
            <w:tcW w:type="dxa" w:w="1656"/>
            <w:vAlign w:val="center"/>
            <w:tcMar>
              <w:top w:w="120" w:type="dxa"/>
              <w:start w:w="120" w:type="dxa"/>
              <w:bottom w:w="120" w:type="dxa"/>
              <w:end w:w="120" w:type="dxa"/>
            </w:tcMar>
          </w:tcPr>
          <w:p>
            <w:pPr>
              <w:spacing w:after="0"/>
            </w:pPr>
            <w:r>
              <w:rPr>
                <w:sz w:val="18"/>
              </w:rPr>
            </w:r>
          </w:p>
        </w:tc>
        <w:tc>
          <w:tcPr>
            <w:tcW w:type="dxa" w:w="2304"/>
            <w:vAlign w:val="center"/>
            <w:tcMar>
              <w:top w:w="120" w:type="dxa"/>
              <w:start w:w="120" w:type="dxa"/>
              <w:bottom w:w="120" w:type="dxa"/>
              <w:end w:w="120" w:type="dxa"/>
            </w:tcMar>
          </w:tcPr>
          <w:p>
            <w:pPr>
              <w:spacing w:after="0"/>
            </w:pPr>
            <w:r>
              <w:rPr>
                <w:sz w:val="18"/>
              </w:rPr>
            </w:r>
          </w:p>
        </w:tc>
      </w:tr>
      <w:tr>
        <w:tc>
          <w:tcPr>
            <w:tcW w:type="dxa" w:w="1800"/>
            <w:vAlign w:val="center"/>
            <w:tcMar>
              <w:top w:w="120" w:type="dxa"/>
              <w:start w:w="120" w:type="dxa"/>
              <w:bottom w:w="120" w:type="dxa"/>
              <w:end w:w="120" w:type="dxa"/>
            </w:tcMar>
            <w:shd w:fill="F2F4F5"/>
          </w:tcPr>
          <w:p>
            <w:pPr>
              <w:spacing w:after="0"/>
            </w:pPr>
            <w:r>
              <w:rPr>
                <w:sz w:val="18"/>
              </w:rPr>
            </w:r>
          </w:p>
        </w:tc>
        <w:tc>
          <w:tcPr>
            <w:tcW w:type="dxa" w:w="1800"/>
            <w:vAlign w:val="center"/>
            <w:tcMar>
              <w:top w:w="120" w:type="dxa"/>
              <w:start w:w="120" w:type="dxa"/>
              <w:bottom w:w="120" w:type="dxa"/>
              <w:end w:w="120" w:type="dxa"/>
            </w:tcMar>
            <w:shd w:fill="F2F4F5"/>
          </w:tcPr>
          <w:p>
            <w:pPr>
              <w:spacing w:after="0"/>
            </w:pPr>
            <w:r>
              <w:rPr>
                <w:sz w:val="18"/>
              </w:rPr>
            </w:r>
          </w:p>
        </w:tc>
        <w:tc>
          <w:tcPr>
            <w:tcW w:type="dxa" w:w="1944"/>
            <w:vAlign w:val="center"/>
            <w:tcMar>
              <w:top w:w="120" w:type="dxa"/>
              <w:start w:w="120" w:type="dxa"/>
              <w:bottom w:w="120" w:type="dxa"/>
              <w:end w:w="120" w:type="dxa"/>
            </w:tcMar>
            <w:shd w:fill="F2F4F5"/>
          </w:tcPr>
          <w:p>
            <w:pPr>
              <w:spacing w:after="0"/>
            </w:pPr>
            <w:r>
              <w:rPr>
                <w:sz w:val="18"/>
              </w:rPr>
            </w:r>
          </w:p>
        </w:tc>
        <w:tc>
          <w:tcPr>
            <w:tcW w:type="dxa" w:w="1656"/>
            <w:vAlign w:val="center"/>
            <w:tcMar>
              <w:top w:w="120" w:type="dxa"/>
              <w:start w:w="120" w:type="dxa"/>
              <w:bottom w:w="120" w:type="dxa"/>
              <w:end w:w="120" w:type="dxa"/>
            </w:tcMar>
            <w:shd w:fill="F2F4F5"/>
          </w:tcPr>
          <w:p>
            <w:pPr>
              <w:spacing w:after="0"/>
            </w:pPr>
            <w:r>
              <w:rPr>
                <w:sz w:val="18"/>
              </w:rPr>
            </w:r>
          </w:p>
        </w:tc>
        <w:tc>
          <w:tcPr>
            <w:tcW w:type="dxa" w:w="2304"/>
            <w:vAlign w:val="center"/>
            <w:tcMar>
              <w:top w:w="120" w:type="dxa"/>
              <w:start w:w="120" w:type="dxa"/>
              <w:bottom w:w="120" w:type="dxa"/>
              <w:end w:w="120" w:type="dxa"/>
            </w:tcMar>
            <w:shd w:fill="F2F4F5"/>
          </w:tcPr>
          <w:p>
            <w:pPr>
              <w:spacing w:after="0"/>
            </w:pPr>
            <w:r>
              <w:rPr>
                <w:sz w:val="18"/>
              </w:rPr>
            </w:r>
          </w:p>
        </w:tc>
      </w:tr>
    </w:tbl>
    <w:p>
      <w:pPr>
        <w:spacing w:after="40"/>
      </w:pPr>
    </w:p>
    <w:p>
      <w:r>
        <w:br w:type="page"/>
      </w:r>
    </w:p>
    <w:p>
      <w:pPr>
        <w:pStyle w:val="Heading1"/>
      </w:pPr>
      <w:r>
        <w:t>6 After admission and before travel</w:t>
      </w:r>
    </w:p>
    <w:p>
      <w:pPr>
        <w:pStyle w:val="Checklist"/>
      </w:pPr>
      <w:r>
        <w:rPr>
          <w:b/>
        </w:rPr>
        <w:t xml:space="preserve">☐  </w:t>
      </w:r>
      <w:r>
        <w:t>Read every condition in the admission letter and meet response deadlines.</w:t>
      </w:r>
    </w:p>
    <w:p>
      <w:pPr>
        <w:pStyle w:val="Checklist"/>
      </w:pPr>
      <w:r>
        <w:rPr>
          <w:b/>
        </w:rPr>
        <w:t xml:space="preserve">☐  </w:t>
      </w:r>
      <w:r>
        <w:t>Confirm the official financial-document process and obtain the Form I-20 from the school when applicable.</w:t>
      </w:r>
    </w:p>
    <w:p>
      <w:pPr>
        <w:pStyle w:val="Checklist"/>
      </w:pPr>
      <w:r>
        <w:rPr>
          <w:b/>
        </w:rPr>
        <w:t xml:space="preserve">☐  </w:t>
      </w:r>
      <w:r>
        <w:t>Pay required official fees only through verified channels.</w:t>
      </w:r>
    </w:p>
    <w:p>
      <w:pPr>
        <w:pStyle w:val="Checklist"/>
      </w:pPr>
      <w:r>
        <w:rPr>
          <w:b/>
        </w:rPr>
        <w:t xml:space="preserve">☐  </w:t>
      </w:r>
      <w:r>
        <w:t>Follow Department of State visa instructions for the appropriate category.</w:t>
      </w:r>
    </w:p>
    <w:p>
      <w:pPr>
        <w:pStyle w:val="Checklist"/>
      </w:pPr>
      <w:r>
        <w:rPr>
          <w:b/>
        </w:rPr>
        <w:t xml:space="preserve">☐  </w:t>
      </w:r>
      <w:r>
        <w:t>Arrange housing, insurance, travel, document backups, and required orientation.</w:t>
      </w:r>
    </w:p>
    <w:p>
      <w:pPr>
        <w:pStyle w:val="Checklist"/>
      </w:pPr>
      <w:r>
        <w:rPr>
          <w:b/>
        </w:rPr>
        <w:t xml:space="preserve">☐  </w:t>
      </w:r>
      <w:r>
        <w:t>Review full-time enrollment and status-maintenance expectations with the DSO.</w:t>
      </w:r>
    </w:p>
    <w:p>
      <w:pPr>
        <w:pStyle w:val="Heading2"/>
      </w:pPr>
      <w:r>
        <w:t>CPT and OPT planning without assumptions</w:t>
      </w:r>
    </w:p>
    <w:p>
      <w:r>
        <w:t>CPT and OPT are forms of practical training connected to F-1 status, but eligibility and authorization are fact-specific. Do not choose a school based only on phrases such as Day 1 CPT or assume that an internship or job can start before authorization. Ask the DSO to explain the curriculum, eligibility, timing, employer details, authorization record, and any effect on later benefits. Use current official guidance for every decision.</w:t>
      </w:r>
    </w:p>
    <w:p>
      <w:pPr>
        <w:pStyle w:val="Heading1"/>
      </w:pPr>
      <w:r>
        <w:t>7 Twelve month preparation timeline</w:t>
      </w:r>
    </w:p>
    <w:tbl>
      <w:tblPr>
        <w:tblStyle w:val="TableGrid"/>
        <w:tblW w:type="auto" w:w="0"/>
        <w:jc w:val="center"/>
        <w:tblLook w:firstColumn="1" w:firstRow="1" w:lastColumn="0" w:lastRow="0" w:noHBand="0" w:noVBand="1" w:val="04A0"/>
      </w:tblPr>
      <w:tblGrid>
        <w:gridCol w:w="4997"/>
        <w:gridCol w:w="4997"/>
      </w:tblGrid>
      <w:tr>
        <w:trPr>
          <w:tblHeader w:val="true"/>
        </w:trPr>
        <w:tc>
          <w:tcPr>
            <w:tcW w:type="dxa" w:w="4997"/>
            <w:shd w:fill="17324D"/>
            <w:vAlign w:val="center"/>
            <w:tcMar>
              <w:top w:w="120" w:type="dxa"/>
              <w:start w:w="120" w:type="dxa"/>
              <w:bottom w:w="120" w:type="dxa"/>
              <w:end w:w="120" w:type="dxa"/>
            </w:tcMar>
          </w:tcPr>
          <w:p>
            <w:r>
              <w:rPr>
                <w:b/>
                <w:color w:val="FFFFFF"/>
                <w:sz w:val="19"/>
              </w:rPr>
              <w:t>Approximate window</w:t>
            </w:r>
          </w:p>
        </w:tc>
        <w:tc>
          <w:tcPr>
            <w:tcW w:type="dxa" w:w="4997"/>
            <w:shd w:fill="17324D"/>
            <w:vAlign w:val="center"/>
            <w:tcMar>
              <w:top w:w="120" w:type="dxa"/>
              <w:start w:w="120" w:type="dxa"/>
              <w:bottom w:w="120" w:type="dxa"/>
              <w:end w:w="120" w:type="dxa"/>
            </w:tcMar>
          </w:tcPr>
          <w:p>
            <w:r>
              <w:rPr>
                <w:b/>
                <w:color w:val="FFFFFF"/>
                <w:sz w:val="19"/>
              </w:rPr>
              <w:t>Priority work</w:t>
            </w:r>
          </w:p>
        </w:tc>
      </w:tr>
      <w:tr>
        <w:tc>
          <w:tcPr>
            <w:tcW w:type="dxa" w:w="2232"/>
            <w:vAlign w:val="center"/>
            <w:tcMar>
              <w:top w:w="120" w:type="dxa"/>
              <w:start w:w="120" w:type="dxa"/>
              <w:bottom w:w="120" w:type="dxa"/>
              <w:end w:w="120" w:type="dxa"/>
            </w:tcMar>
          </w:tcPr>
          <w:p>
            <w:pPr>
              <w:spacing w:after="0"/>
            </w:pPr>
            <w:r>
              <w:rPr>
                <w:sz w:val="18"/>
              </w:rPr>
              <w:t>12 to 10 months</w:t>
            </w:r>
          </w:p>
        </w:tc>
        <w:tc>
          <w:tcPr>
            <w:tcW w:type="dxa" w:w="7272"/>
            <w:vAlign w:val="center"/>
            <w:tcMar>
              <w:top w:w="120" w:type="dxa"/>
              <w:start w:w="120" w:type="dxa"/>
              <w:bottom w:w="120" w:type="dxa"/>
              <w:end w:w="120" w:type="dxa"/>
            </w:tcMar>
          </w:tcPr>
          <w:p>
            <w:pPr>
              <w:spacing w:after="0"/>
            </w:pPr>
            <w:r>
              <w:rPr>
                <w:sz w:val="18"/>
              </w:rPr>
              <w:t>Define goal; research programs; map prerequisites, tests, costs, and funding cycles.</w:t>
            </w:r>
          </w:p>
        </w:tc>
      </w:tr>
      <w:tr>
        <w:tc>
          <w:tcPr>
            <w:tcW w:type="dxa" w:w="2232"/>
            <w:vAlign w:val="center"/>
            <w:tcMar>
              <w:top w:w="120" w:type="dxa"/>
              <w:start w:w="120" w:type="dxa"/>
              <w:bottom w:w="120" w:type="dxa"/>
              <w:end w:w="120" w:type="dxa"/>
            </w:tcMar>
            <w:shd w:fill="F2F4F5"/>
          </w:tcPr>
          <w:p>
            <w:pPr>
              <w:spacing w:after="0"/>
            </w:pPr>
            <w:r>
              <w:rPr>
                <w:sz w:val="18"/>
              </w:rPr>
              <w:t>10 to 8 months</w:t>
            </w:r>
          </w:p>
        </w:tc>
        <w:tc>
          <w:tcPr>
            <w:tcW w:type="dxa" w:w="7272"/>
            <w:vAlign w:val="center"/>
            <w:tcMar>
              <w:top w:w="120" w:type="dxa"/>
              <w:start w:w="120" w:type="dxa"/>
              <w:bottom w:w="120" w:type="dxa"/>
              <w:end w:w="120" w:type="dxa"/>
            </w:tcMar>
            <w:shd w:fill="F2F4F5"/>
          </w:tcPr>
          <w:p>
            <w:pPr>
              <w:spacing w:after="0"/>
            </w:pPr>
            <w:r>
              <w:rPr>
                <w:sz w:val="18"/>
              </w:rPr>
              <w:t>Take required tests if needed; request academic records; identify recommenders.</w:t>
            </w:r>
          </w:p>
        </w:tc>
      </w:tr>
      <w:tr>
        <w:tc>
          <w:tcPr>
            <w:tcW w:type="dxa" w:w="2232"/>
            <w:vAlign w:val="center"/>
            <w:tcMar>
              <w:top w:w="120" w:type="dxa"/>
              <w:start w:w="120" w:type="dxa"/>
              <w:bottom w:w="120" w:type="dxa"/>
              <w:end w:w="120" w:type="dxa"/>
            </w:tcMar>
          </w:tcPr>
          <w:p>
            <w:pPr>
              <w:spacing w:after="0"/>
            </w:pPr>
            <w:r>
              <w:rPr>
                <w:sz w:val="18"/>
              </w:rPr>
              <w:t>8 to 5 months</w:t>
            </w:r>
          </w:p>
        </w:tc>
        <w:tc>
          <w:tcPr>
            <w:tcW w:type="dxa" w:w="7272"/>
            <w:vAlign w:val="center"/>
            <w:tcMar>
              <w:top w:w="120" w:type="dxa"/>
              <w:start w:w="120" w:type="dxa"/>
              <w:bottom w:w="120" w:type="dxa"/>
              <w:end w:w="120" w:type="dxa"/>
            </w:tcMar>
          </w:tcPr>
          <w:p>
            <w:pPr>
              <w:spacing w:after="0"/>
            </w:pPr>
            <w:r>
              <w:rPr>
                <w:sz w:val="18"/>
              </w:rPr>
              <w:t>Draft statements and resume; build program-specific evidence; begin submissions.</w:t>
            </w:r>
          </w:p>
        </w:tc>
      </w:tr>
      <w:tr>
        <w:tc>
          <w:tcPr>
            <w:tcW w:type="dxa" w:w="2232"/>
            <w:vAlign w:val="center"/>
            <w:tcMar>
              <w:top w:w="120" w:type="dxa"/>
              <w:start w:w="120" w:type="dxa"/>
              <w:bottom w:w="120" w:type="dxa"/>
              <w:end w:w="120" w:type="dxa"/>
            </w:tcMar>
            <w:shd w:fill="F2F4F5"/>
          </w:tcPr>
          <w:p>
            <w:pPr>
              <w:spacing w:after="0"/>
            </w:pPr>
            <w:r>
              <w:rPr>
                <w:sz w:val="18"/>
              </w:rPr>
              <w:t>5 to 3 months</w:t>
            </w:r>
          </w:p>
        </w:tc>
        <w:tc>
          <w:tcPr>
            <w:tcW w:type="dxa" w:w="7272"/>
            <w:vAlign w:val="center"/>
            <w:tcMar>
              <w:top w:w="120" w:type="dxa"/>
              <w:start w:w="120" w:type="dxa"/>
              <w:bottom w:w="120" w:type="dxa"/>
              <w:end w:w="120" w:type="dxa"/>
            </w:tcMar>
            <w:shd w:fill="F2F4F5"/>
          </w:tcPr>
          <w:p>
            <w:pPr>
              <w:spacing w:after="0"/>
            </w:pPr>
            <w:r>
              <w:rPr>
                <w:sz w:val="18"/>
              </w:rPr>
              <w:t>Complete remaining applications; monitor portals; resolve missing materials.</w:t>
            </w:r>
          </w:p>
        </w:tc>
      </w:tr>
      <w:tr>
        <w:tc>
          <w:tcPr>
            <w:tcW w:type="dxa" w:w="2232"/>
            <w:vAlign w:val="center"/>
            <w:tcMar>
              <w:top w:w="120" w:type="dxa"/>
              <w:start w:w="120" w:type="dxa"/>
              <w:bottom w:w="120" w:type="dxa"/>
              <w:end w:w="120" w:type="dxa"/>
            </w:tcMar>
          </w:tcPr>
          <w:p>
            <w:pPr>
              <w:spacing w:after="0"/>
            </w:pPr>
            <w:r>
              <w:rPr>
                <w:sz w:val="18"/>
              </w:rPr>
              <w:t>3 to 1 months</w:t>
            </w:r>
          </w:p>
        </w:tc>
        <w:tc>
          <w:tcPr>
            <w:tcW w:type="dxa" w:w="7272"/>
            <w:vAlign w:val="center"/>
            <w:tcMar>
              <w:top w:w="120" w:type="dxa"/>
              <w:start w:w="120" w:type="dxa"/>
              <w:bottom w:w="120" w:type="dxa"/>
              <w:end w:w="120" w:type="dxa"/>
            </w:tcMar>
          </w:tcPr>
          <w:p>
            <w:pPr>
              <w:spacing w:after="0"/>
            </w:pPr>
            <w:r>
              <w:rPr>
                <w:sz w:val="18"/>
              </w:rPr>
              <w:t>Compare offers and funding; complete official admission and immigration steps.</w:t>
            </w:r>
          </w:p>
        </w:tc>
      </w:tr>
      <w:tr>
        <w:tc>
          <w:tcPr>
            <w:tcW w:type="dxa" w:w="2232"/>
            <w:vAlign w:val="center"/>
            <w:tcMar>
              <w:top w:w="120" w:type="dxa"/>
              <w:start w:w="120" w:type="dxa"/>
              <w:bottom w:w="120" w:type="dxa"/>
              <w:end w:w="120" w:type="dxa"/>
            </w:tcMar>
            <w:shd w:fill="F2F4F5"/>
          </w:tcPr>
          <w:p>
            <w:pPr>
              <w:spacing w:after="0"/>
            </w:pPr>
            <w:r>
              <w:rPr>
                <w:sz w:val="18"/>
              </w:rPr>
              <w:t>Before enrollment</w:t>
            </w:r>
          </w:p>
        </w:tc>
        <w:tc>
          <w:tcPr>
            <w:tcW w:type="dxa" w:w="7272"/>
            <w:vAlign w:val="center"/>
            <w:tcMar>
              <w:top w:w="120" w:type="dxa"/>
              <w:start w:w="120" w:type="dxa"/>
              <w:bottom w:w="120" w:type="dxa"/>
              <w:end w:w="120" w:type="dxa"/>
            </w:tcMar>
            <w:shd w:fill="F2F4F5"/>
          </w:tcPr>
          <w:p>
            <w:pPr>
              <w:spacing w:after="0"/>
            </w:pPr>
            <w:r>
              <w:rPr>
                <w:sz w:val="18"/>
              </w:rPr>
              <w:t>Finish orientation, travel, housing, registration, and status-maintenance review.</w:t>
            </w:r>
          </w:p>
        </w:tc>
      </w:tr>
    </w:tbl>
    <w:p>
      <w:pPr>
        <w:spacing w:after="40"/>
      </w:pPr>
    </w:p>
    <w:p>
      <w:pPr>
        <w:pStyle w:val="Heading1"/>
      </w:pPr>
      <w:r>
        <w:t>Questions to ask each program</w:t>
      </w:r>
    </w:p>
    <w:p>
      <w:pPr>
        <w:pStyle w:val="Checklist"/>
      </w:pPr>
      <w:r>
        <w:rPr>
          <w:b/>
        </w:rPr>
        <w:t xml:space="preserve">☐  </w:t>
      </w:r>
      <w:r>
        <w:t>Which prerequisites are mandatory before enrollment?</w:t>
      </w:r>
    </w:p>
    <w:p>
      <w:pPr>
        <w:pStyle w:val="Checklist"/>
      </w:pPr>
      <w:r>
        <w:rPr>
          <w:b/>
        </w:rPr>
        <w:t xml:space="preserve">☐  </w:t>
      </w:r>
      <w:r>
        <w:t>Which tests are required for this exact term and program?</w:t>
      </w:r>
    </w:p>
    <w:p>
      <w:pPr>
        <w:pStyle w:val="Checklist"/>
      </w:pPr>
      <w:r>
        <w:rPr>
          <w:b/>
        </w:rPr>
        <w:t xml:space="preserve">☐  </w:t>
      </w:r>
      <w:r>
        <w:t>How are international transcripts evaluated?</w:t>
      </w:r>
    </w:p>
    <w:p>
      <w:pPr>
        <w:pStyle w:val="Checklist"/>
      </w:pPr>
      <w:r>
        <w:rPr>
          <w:b/>
        </w:rPr>
        <w:t xml:space="preserve">☐  </w:t>
      </w:r>
      <w:r>
        <w:t>What funding is guaranteed versus competitive?</w:t>
      </w:r>
    </w:p>
    <w:p>
      <w:pPr>
        <w:pStyle w:val="Checklist"/>
      </w:pPr>
      <w:r>
        <w:rPr>
          <w:b/>
        </w:rPr>
        <w:t xml:space="preserve">☐  </w:t>
      </w:r>
      <w:r>
        <w:t>What is the typical time to completion and course availability?</w:t>
      </w:r>
    </w:p>
    <w:p>
      <w:pPr>
        <w:pStyle w:val="Checklist"/>
      </w:pPr>
      <w:r>
        <w:rPr>
          <w:b/>
        </w:rPr>
        <w:t xml:space="preserve">☐  </w:t>
      </w:r>
      <w:r>
        <w:t>Who advises international students, and where are current employment-authorization policies published?</w:t>
      </w:r>
    </w:p>
    <w:p>
      <w:pPr>
        <w:pStyle w:val="Checklist"/>
      </w:pPr>
      <w:r>
        <w:rPr>
          <w:b/>
        </w:rPr>
        <w:t xml:space="preserve">☐  </w:t>
      </w:r>
      <w:r>
        <w:t>Can admitted students speak with current students or alumni?</w:t>
      </w:r>
    </w:p>
    <w:p>
      <w:pPr>
        <w:pStyle w:val="Checklist"/>
      </w:pPr>
      <w:r>
        <w:rPr>
          <w:b/>
        </w:rPr>
        <w:t xml:space="preserve">☐  </w:t>
      </w:r>
      <w:r>
        <w:t>Which costs are commonly omitted from the headline tuition figure?</w:t>
      </w:r>
    </w:p>
    <w:p>
      <w:pPr>
        <w:pStyle w:val="Heading1"/>
      </w:pPr>
      <w:r>
        <w:t>Official sources to verify</w:t>
      </w:r>
    </w:p>
    <w:p>
      <w:pPr>
        <w:pStyle w:val="ListBullet"/>
      </w:pPr>
      <w:hyperlink r:id="rId10">
        <w:r>
          <w:rPr>
            <w:color w:val="0E7C73"/>
            <w:u w:val="single"/>
          </w:rPr>
          <w:t>EducationUSA five steps to U.S. study</w:t>
        </w:r>
      </w:hyperlink>
    </w:p>
    <w:p>
      <w:pPr>
        <w:pStyle w:val="ListBullet"/>
      </w:pPr>
      <w:hyperlink r:id="rId11">
        <w:r>
          <w:rPr>
            <w:color w:val="0E7C73"/>
            <w:u w:val="single"/>
          </w:rPr>
          <w:t>U.S. Department of Education accreditation database</w:t>
        </w:r>
      </w:hyperlink>
    </w:p>
    <w:p>
      <w:pPr>
        <w:pStyle w:val="ListBullet"/>
      </w:pPr>
      <w:hyperlink r:id="rId12">
        <w:r>
          <w:rPr>
            <w:color w:val="0E7C73"/>
            <w:u w:val="single"/>
          </w:rPr>
          <w:t>DHS Study in the States school search</w:t>
        </w:r>
      </w:hyperlink>
    </w:p>
    <w:p>
      <w:pPr>
        <w:pStyle w:val="ListBullet"/>
      </w:pPr>
      <w:hyperlink r:id="rId13">
        <w:r>
          <w:rPr>
            <w:color w:val="0E7C73"/>
            <w:u w:val="single"/>
          </w:rPr>
          <w:t>Study in the States maintaining status</w:t>
        </w:r>
      </w:hyperlink>
    </w:p>
    <w:p>
      <w:pPr>
        <w:pStyle w:val="ListBullet"/>
      </w:pPr>
      <w:hyperlink r:id="rId14">
        <w:r>
          <w:rPr>
            <w:color w:val="0E7C73"/>
            <w:u w:val="single"/>
          </w:rPr>
          <w:t>Study in the States practical training overview</w:t>
        </w:r>
      </w:hyperlink>
    </w:p>
    <w:p>
      <w:pPr>
        <w:pStyle w:val="ListBullet"/>
      </w:pPr>
      <w:hyperlink r:id="rId15">
        <w:r>
          <w:rPr>
            <w:color w:val="0E7C73"/>
            <w:u w:val="single"/>
          </w:rPr>
          <w:t>U.S. Department of State student visas</w:t>
        </w:r>
      </w:hyperlink>
    </w:p>
    <w:p>
      <w:pPr>
        <w:pStyle w:val="ListBullet"/>
      </w:pPr>
      <w:hyperlink r:id="rId16">
        <w:r>
          <w:rPr>
            <w:color w:val="0E7C73"/>
            <w:u w:val="single"/>
          </w:rPr>
          <w:t>ETS GRE official information</w:t>
        </w:r>
      </w:hyperlink>
    </w:p>
    <w:p>
      <w:pPr>
        <w:pStyle w:val="ListBullet"/>
      </w:pPr>
      <w:hyperlink r:id="rId17">
        <w:r>
          <w:rPr>
            <w:color w:val="0E7C73"/>
            <w:u w:val="single"/>
          </w:rPr>
          <w:t>ETS TOEFL official information</w:t>
        </w:r>
      </w:hyperlink>
    </w:p>
    <w:p>
      <w:pPr>
        <w:pStyle w:val="Heading1"/>
      </w:pPr>
      <w:r>
        <w:t>Final decision record</w:t>
      </w:r>
    </w:p>
    <w:tbl>
      <w:tblPr>
        <w:tblStyle w:val="TableGrid"/>
        <w:tblW w:type="auto" w:w="0"/>
        <w:jc w:val="center"/>
        <w:tblLook w:firstColumn="1" w:firstRow="1" w:lastColumn="0" w:lastRow="0" w:noHBand="0" w:noVBand="1" w:val="04A0"/>
      </w:tblPr>
      <w:tblGrid>
        <w:gridCol w:w="2498"/>
        <w:gridCol w:w="2498"/>
        <w:gridCol w:w="2498"/>
        <w:gridCol w:w="2498"/>
      </w:tblGrid>
      <w:tr>
        <w:trPr>
          <w:tblHeader w:val="true"/>
        </w:trPr>
        <w:tc>
          <w:tcPr>
            <w:tcW w:type="dxa" w:w="2498"/>
            <w:shd w:fill="17324D"/>
            <w:vAlign w:val="center"/>
            <w:tcMar>
              <w:top w:w="120" w:type="dxa"/>
              <w:start w:w="120" w:type="dxa"/>
              <w:bottom w:w="120" w:type="dxa"/>
              <w:end w:w="120" w:type="dxa"/>
            </w:tcMar>
          </w:tcPr>
          <w:p>
            <w:r>
              <w:rPr>
                <w:b/>
                <w:color w:val="FFFFFF"/>
                <w:sz w:val="19"/>
              </w:rPr>
              <w:t>Decision</w:t>
            </w:r>
          </w:p>
        </w:tc>
        <w:tc>
          <w:tcPr>
            <w:tcW w:type="dxa" w:w="2498"/>
            <w:shd w:fill="17324D"/>
            <w:vAlign w:val="center"/>
            <w:tcMar>
              <w:top w:w="120" w:type="dxa"/>
              <w:start w:w="120" w:type="dxa"/>
              <w:bottom w:w="120" w:type="dxa"/>
              <w:end w:w="120" w:type="dxa"/>
            </w:tcMar>
          </w:tcPr>
          <w:p>
            <w:r>
              <w:rPr>
                <w:b/>
                <w:color w:val="FFFFFF"/>
                <w:sz w:val="19"/>
              </w:rPr>
              <w:t>Evidence used</w:t>
            </w:r>
          </w:p>
        </w:tc>
        <w:tc>
          <w:tcPr>
            <w:tcW w:type="dxa" w:w="2498"/>
            <w:shd w:fill="17324D"/>
            <w:vAlign w:val="center"/>
            <w:tcMar>
              <w:top w:w="120" w:type="dxa"/>
              <w:start w:w="120" w:type="dxa"/>
              <w:bottom w:w="120" w:type="dxa"/>
              <w:end w:w="120" w:type="dxa"/>
            </w:tcMar>
          </w:tcPr>
          <w:p>
            <w:r>
              <w:rPr>
                <w:b/>
                <w:color w:val="FFFFFF"/>
                <w:sz w:val="19"/>
              </w:rPr>
              <w:t>Open question</w:t>
            </w:r>
          </w:p>
        </w:tc>
        <w:tc>
          <w:tcPr>
            <w:tcW w:type="dxa" w:w="2498"/>
            <w:shd w:fill="17324D"/>
            <w:vAlign w:val="center"/>
            <w:tcMar>
              <w:top w:w="120" w:type="dxa"/>
              <w:start w:w="120" w:type="dxa"/>
              <w:bottom w:w="120" w:type="dxa"/>
              <w:end w:w="120" w:type="dxa"/>
            </w:tcMar>
          </w:tcPr>
          <w:p>
            <w:r>
              <w:rPr>
                <w:b/>
                <w:color w:val="FFFFFF"/>
                <w:sz w:val="19"/>
              </w:rPr>
              <w:t>Owner and due date</w:t>
            </w:r>
          </w:p>
        </w:tc>
      </w:tr>
      <w:tr>
        <w:tc>
          <w:tcPr>
            <w:tcW w:type="dxa" w:w="1944"/>
            <w:vAlign w:val="center"/>
            <w:tcMar>
              <w:top w:w="120" w:type="dxa"/>
              <w:start w:w="120" w:type="dxa"/>
              <w:bottom w:w="120" w:type="dxa"/>
              <w:end w:w="120" w:type="dxa"/>
            </w:tcMar>
          </w:tcPr>
          <w:p>
            <w:pPr>
              <w:spacing w:after="0"/>
            </w:pPr>
            <w:r>
              <w:rPr>
                <w:sz w:val="18"/>
              </w:rPr>
            </w:r>
          </w:p>
        </w:tc>
        <w:tc>
          <w:tcPr>
            <w:tcW w:type="dxa" w:w="3528"/>
            <w:vAlign w:val="center"/>
            <w:tcMar>
              <w:top w:w="120" w:type="dxa"/>
              <w:start w:w="120" w:type="dxa"/>
              <w:bottom w:w="120" w:type="dxa"/>
              <w:end w:w="120" w:type="dxa"/>
            </w:tcMar>
          </w:tcPr>
          <w:p>
            <w:pPr>
              <w:spacing w:after="0"/>
            </w:pPr>
            <w:r>
              <w:rPr>
                <w:sz w:val="18"/>
              </w:rPr>
            </w:r>
          </w:p>
        </w:tc>
        <w:tc>
          <w:tcPr>
            <w:tcW w:type="dxa" w:w="2520"/>
            <w:vAlign w:val="center"/>
            <w:tcMar>
              <w:top w:w="120" w:type="dxa"/>
              <w:start w:w="120" w:type="dxa"/>
              <w:bottom w:w="120" w:type="dxa"/>
              <w:end w:w="120" w:type="dxa"/>
            </w:tcMar>
          </w:tcPr>
          <w:p>
            <w:pPr>
              <w:spacing w:after="0"/>
            </w:pPr>
            <w:r>
              <w:rPr>
                <w:sz w:val="18"/>
              </w:rPr>
            </w:r>
          </w:p>
        </w:tc>
        <w:tc>
          <w:tcPr>
            <w:tcW w:type="dxa" w:w="1440"/>
            <w:vAlign w:val="center"/>
            <w:tcMar>
              <w:top w:w="120" w:type="dxa"/>
              <w:start w:w="120" w:type="dxa"/>
              <w:bottom w:w="120" w:type="dxa"/>
              <w:end w:w="120" w:type="dxa"/>
            </w:tcMar>
          </w:tcPr>
          <w:p>
            <w:pPr>
              <w:spacing w:after="0"/>
            </w:pPr>
            <w:r>
              <w:rPr>
                <w:sz w:val="18"/>
              </w:rPr>
            </w:r>
          </w:p>
        </w:tc>
      </w:tr>
      <w:tr>
        <w:tc>
          <w:tcPr>
            <w:tcW w:type="dxa" w:w="1944"/>
            <w:vAlign w:val="center"/>
            <w:tcMar>
              <w:top w:w="120" w:type="dxa"/>
              <w:start w:w="120" w:type="dxa"/>
              <w:bottom w:w="120" w:type="dxa"/>
              <w:end w:w="120" w:type="dxa"/>
            </w:tcMar>
            <w:shd w:fill="F2F4F5"/>
          </w:tcPr>
          <w:p>
            <w:pPr>
              <w:spacing w:after="0"/>
            </w:pPr>
            <w:r>
              <w:rPr>
                <w:sz w:val="18"/>
              </w:rPr>
            </w:r>
          </w:p>
        </w:tc>
        <w:tc>
          <w:tcPr>
            <w:tcW w:type="dxa" w:w="3528"/>
            <w:vAlign w:val="center"/>
            <w:tcMar>
              <w:top w:w="120" w:type="dxa"/>
              <w:start w:w="120" w:type="dxa"/>
              <w:bottom w:w="120" w:type="dxa"/>
              <w:end w:w="120" w:type="dxa"/>
            </w:tcMar>
            <w:shd w:fill="F2F4F5"/>
          </w:tcPr>
          <w:p>
            <w:pPr>
              <w:spacing w:after="0"/>
            </w:pPr>
            <w:r>
              <w:rPr>
                <w:sz w:val="18"/>
              </w:rPr>
            </w:r>
          </w:p>
        </w:tc>
        <w:tc>
          <w:tcPr>
            <w:tcW w:type="dxa" w:w="2520"/>
            <w:vAlign w:val="center"/>
            <w:tcMar>
              <w:top w:w="120" w:type="dxa"/>
              <w:start w:w="120" w:type="dxa"/>
              <w:bottom w:w="120" w:type="dxa"/>
              <w:end w:w="120" w:type="dxa"/>
            </w:tcMar>
            <w:shd w:fill="F2F4F5"/>
          </w:tcPr>
          <w:p>
            <w:pPr>
              <w:spacing w:after="0"/>
            </w:pPr>
            <w:r>
              <w:rPr>
                <w:sz w:val="18"/>
              </w:rPr>
            </w:r>
          </w:p>
        </w:tc>
        <w:tc>
          <w:tcPr>
            <w:tcW w:type="dxa" w:w="1440"/>
            <w:vAlign w:val="center"/>
            <w:tcMar>
              <w:top w:w="120" w:type="dxa"/>
              <w:start w:w="120" w:type="dxa"/>
              <w:bottom w:w="120" w:type="dxa"/>
              <w:end w:w="120" w:type="dxa"/>
            </w:tcMar>
            <w:shd w:fill="F2F4F5"/>
          </w:tcPr>
          <w:p>
            <w:pPr>
              <w:spacing w:after="0"/>
            </w:pPr>
            <w:r>
              <w:rPr>
                <w:sz w:val="18"/>
              </w:rPr>
            </w:r>
          </w:p>
        </w:tc>
      </w:tr>
    </w:tbl>
    <w:p>
      <w:pPr>
        <w:spacing w:after="40"/>
      </w:pPr>
    </w:p>
    <w:sectPr>
      <w:footerReference w:type="default" r:id="rId9"/>
      <w:pgSz w:w="12240" w:h="15840"/>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E767C"/>
        <w:sz w:val="16"/>
      </w:rPr>
      <w:t>Nikhila Gulakaram  •  Educational planning resource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color w:val="2731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60"/>
      <w:outlineLvl w:val="0"/>
    </w:pPr>
    <w:rPr>
      <w:rFonts w:asciiTheme="majorHAnsi" w:eastAsiaTheme="majorEastAsia" w:hAnsiTheme="majorHAnsi" w:cstheme="majorBidi" w:ascii="Aptos Display" w:hAnsi="Aptos Display"/>
      <w:b/>
      <w:bCs/>
      <w:color w:val="000000"/>
      <w:sz w:val="38"/>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ptos Display" w:hAnsi="Aptos Display"/>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120" w:after="60"/>
      <w:outlineLvl w:val="2"/>
    </w:pPr>
    <w:rPr>
      <w:rFonts w:asciiTheme="majorHAnsi" w:eastAsiaTheme="majorEastAsia" w:hAnsiTheme="majorHAnsi" w:cstheme="majorBidi" w:ascii="Aptos Display" w:hAnsi="Aptos Display"/>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20" w:line="240" w:lineRule="auto" w:before="0"/>
      <w:contextualSpacing/>
    </w:pPr>
    <w:rPr>
      <w:rFonts w:asciiTheme="majorHAnsi" w:eastAsiaTheme="majorEastAsia" w:hAnsiTheme="majorHAnsi" w:cstheme="majorBidi" w:ascii="Aptos Display" w:hAnsi="Aptos Display"/>
      <w:b/>
      <w:color w:val="00000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hecklist">
    <w:name w:val="Checklist"/>
    <w:pPr>
      <w:keepLines/>
      <w:spacing w:after="100"/>
      <w:ind w:left="115"/>
    </w:pPr>
    <w:rPr>
      <w:rFonts w:ascii="Aptos" w:hAnsi="Aptos"/>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ducationusa.state.gov/your-5-steps-us-study" TargetMode="External"/><Relationship Id="rId11" Type="http://schemas.openxmlformats.org/officeDocument/2006/relationships/hyperlink" Target="https://ope.ed.gov/dapip/" TargetMode="External"/><Relationship Id="rId12" Type="http://schemas.openxmlformats.org/officeDocument/2006/relationships/hyperlink" Target="https://studyinthestates.dhs.gov/school-search" TargetMode="External"/><Relationship Id="rId13" Type="http://schemas.openxmlformats.org/officeDocument/2006/relationships/hyperlink" Target="https://studyinthestates.dhs.gov/students/maintaining-status" TargetMode="External"/><Relationship Id="rId14" Type="http://schemas.openxmlformats.org/officeDocument/2006/relationships/hyperlink" Target="https://studyinthestates.dhs.gov/students/training-opportunities-in-the-united-states" TargetMode="External"/><Relationship Id="rId15" Type="http://schemas.openxmlformats.org/officeDocument/2006/relationships/hyperlink" Target="https://travel.state.gov/content/travel/en/us-visas/study/student-visa.html" TargetMode="External"/><Relationship Id="rId16" Type="http://schemas.openxmlformats.org/officeDocument/2006/relationships/hyperlink" Target="https://www.ets.org/gre.html" TargetMode="External"/><Relationship Id="rId17" Type="http://schemas.openxmlformats.org/officeDocument/2006/relationships/hyperlink" Target="https://www.ets.org/toef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