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00786E"/>
          <w:sz w:val="20"/>
        </w:rPr>
        <w:t>TRACE AI RESPONSE QUALITY TOOLKIT</w:t>
      </w:r>
    </w:p>
    <w:p>
      <w:pPr>
        <w:pStyle w:val="Title"/>
        <w:jc w:val="left"/>
      </w:pPr>
      <w:r>
        <w:rPr>
          <w:color w:val="000000"/>
        </w:rPr>
        <w:t>TRACE RAG and Citation Verification Guide</w:t>
      </w:r>
    </w:p>
    <w:p>
      <w:pPr>
        <w:pStyle w:val="Subtitle"/>
        <w:jc w:val="left"/>
      </w:pPr>
      <w:r>
        <w:t>A focused resource for testers and AI quality teams</w:t>
      </w:r>
    </w:p>
    <w:p>
      <w:r>
        <w:t>Use this guide to separate source, retrieval, generation, and citation failures. It helps testers verify whether each factual claim is supported by approved evidence and whether each citation supports the exact statement.</w:t>
      </w:r>
    </w:p>
    <w:p>
      <w:r>
        <w:t>Author  Nikhila Gulakaram</w:t>
      </w:r>
    </w:p>
    <w:p>
      <w:r>
        <w:t>QA Lead and Applied AI Quality Researcher</w:t>
      </w:r>
    </w:p>
    <w:p>
      <w:pPr>
        <w:pStyle w:val="Heading2"/>
        <w:spacing w:before="360"/>
      </w:pPr>
      <w:r>
        <w:t>Included in this resource</w:t>
      </w:r>
    </w:p>
    <w:p>
      <w:pPr>
        <w:pStyle w:val="ListBullet"/>
      </w:pPr>
      <w:r>
        <w:t>Atomic claim labeling method</w:t>
      </w:r>
    </w:p>
    <w:p>
      <w:pPr>
        <w:pStyle w:val="ListBullet"/>
      </w:pPr>
      <w:r>
        <w:t>Citation existence, authority, currency, entailment, and coverage checks</w:t>
      </w:r>
    </w:p>
    <w:p>
      <w:pPr>
        <w:pStyle w:val="ListBullet"/>
      </w:pPr>
      <w:r>
        <w:t>RAG pipeline diagnostics</w:t>
      </w:r>
    </w:p>
    <w:p>
      <w:pPr>
        <w:pStyle w:val="ListBullet"/>
      </w:pPr>
      <w:r>
        <w:t>Reusable verification and failure diagnosis prompts</w:t>
      </w:r>
    </w:p>
    <w:p>
      <w:pPr>
        <w:spacing w:before="360"/>
      </w:pPr>
      <w:r>
        <w:rPr>
          <w:b/>
        </w:rPr>
        <w:t xml:space="preserve">Use note  </w:t>
      </w:r>
      <w:r>
        <w:t>Adapt the worksheets and prompts to the approved requirements, data, evidence, policies, and risk thresholds for the system being tested.</w:t>
      </w:r>
    </w:p>
    <w:p>
      <w:r>
        <w:br w:type="page"/>
      </w:r>
    </w:p>
    <w:p>
      <w:pPr>
        <w:pStyle w:val="Heading1"/>
      </w:pPr>
      <w:r>
        <w:t>Atomic claim verification</w:t>
      </w:r>
    </w:p>
    <w:p>
      <w:r>
        <w:t>Whole response scores can hide one fabricated number or policy. Split the response into the smallest factual claims that can be independently checked. Label nonfactual advice or style separately so it does not distort the factuality result.</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1512"/>
            <w:shd w:fill="162127"/>
            <w:vAlign w:val="center"/>
            <w:tcMar>
              <w:top w:w="115" w:type="dxa"/>
              <w:start w:w="125" w:type="dxa"/>
              <w:bottom w:w="115" w:type="dxa"/>
              <w:end w:w="125" w:type="dxa"/>
            </w:tcMar>
          </w:tcPr>
          <w:p>
            <w:pPr>
              <w:jc w:val="center"/>
            </w:pPr>
            <w:r>
              <w:rPr>
                <w:rFonts w:ascii="Aptos" w:hAnsi="Aptos"/>
                <w:b/>
                <w:color w:val="FFFFFF"/>
                <w:sz w:val="16"/>
              </w:rPr>
              <w:t>Claim label</w:t>
            </w:r>
          </w:p>
        </w:tc>
        <w:tc>
          <w:tcPr>
            <w:tcW w:type="dxa" w:w="4680"/>
            <w:shd w:fill="162127"/>
            <w:vAlign w:val="center"/>
            <w:tcMar>
              <w:top w:w="115" w:type="dxa"/>
              <w:start w:w="125" w:type="dxa"/>
              <w:bottom w:w="115" w:type="dxa"/>
              <w:end w:w="125" w:type="dxa"/>
            </w:tcMar>
          </w:tcPr>
          <w:p>
            <w:pPr>
              <w:jc w:val="center"/>
            </w:pPr>
            <w:r>
              <w:rPr>
                <w:rFonts w:ascii="Aptos" w:hAnsi="Aptos"/>
                <w:b/>
                <w:color w:val="FFFFFF"/>
                <w:sz w:val="16"/>
              </w:rPr>
              <w:t>Meaning</w:t>
            </w:r>
          </w:p>
        </w:tc>
        <w:tc>
          <w:tcPr>
            <w:tcW w:type="dxa" w:w="3096"/>
            <w:shd w:fill="162127"/>
            <w:vAlign w:val="center"/>
            <w:tcMar>
              <w:top w:w="115" w:type="dxa"/>
              <w:start w:w="125" w:type="dxa"/>
              <w:bottom w:w="115" w:type="dxa"/>
              <w:end w:w="125" w:type="dxa"/>
            </w:tcMar>
          </w:tcPr>
          <w:p>
            <w:pPr>
              <w:jc w:val="center"/>
            </w:pPr>
            <w:r>
              <w:rPr>
                <w:rFonts w:ascii="Aptos" w:hAnsi="Aptos"/>
                <w:b/>
                <w:color w:val="FFFFFF"/>
                <w:sz w:val="16"/>
              </w:rPr>
              <w:t>Tester action</w:t>
            </w:r>
          </w:p>
        </w:tc>
      </w:tr>
      <w:tr>
        <w:trPr>
          <w:cantSplit/>
        </w:trPr>
        <w:tc>
          <w:tcPr>
            <w:tcW w:type="dxa" w:w="1512"/>
            <w:vAlign w:val="center"/>
            <w:tcMar>
              <w:top w:w="105" w:type="dxa"/>
              <w:start w:w="125" w:type="dxa"/>
              <w:bottom w:w="105" w:type="dxa"/>
              <w:end w:w="125" w:type="dxa"/>
            </w:tcMar>
          </w:tcPr>
          <w:p>
            <w:r>
              <w:rPr>
                <w:rFonts w:ascii="Aptos" w:hAnsi="Aptos"/>
                <w:color w:val="20272B"/>
                <w:sz w:val="16"/>
              </w:rPr>
              <w:t>Supported</w:t>
            </w:r>
          </w:p>
        </w:tc>
        <w:tc>
          <w:tcPr>
            <w:tcW w:type="dxa" w:w="4680"/>
            <w:vAlign w:val="center"/>
            <w:tcMar>
              <w:top w:w="105" w:type="dxa"/>
              <w:start w:w="125" w:type="dxa"/>
              <w:bottom w:w="105" w:type="dxa"/>
              <w:end w:w="125" w:type="dxa"/>
            </w:tcMar>
          </w:tcPr>
          <w:p>
            <w:r>
              <w:rPr>
                <w:rFonts w:ascii="Aptos" w:hAnsi="Aptos"/>
                <w:color w:val="20272B"/>
                <w:sz w:val="16"/>
              </w:rPr>
              <w:t>Approved evidence entails the claim at the stated certainty</w:t>
            </w:r>
          </w:p>
        </w:tc>
        <w:tc>
          <w:tcPr>
            <w:tcW w:type="dxa" w:w="3096"/>
            <w:vAlign w:val="center"/>
            <w:tcMar>
              <w:top w:w="105" w:type="dxa"/>
              <w:start w:w="125" w:type="dxa"/>
              <w:bottom w:w="105" w:type="dxa"/>
              <w:end w:w="125" w:type="dxa"/>
            </w:tcMar>
          </w:tcPr>
          <w:p>
            <w:r>
              <w:rPr>
                <w:rFonts w:ascii="Aptos" w:hAnsi="Aptos"/>
                <w:color w:val="20272B"/>
                <w:sz w:val="16"/>
              </w:rPr>
              <w:t>Pass grounding check</w:t>
            </w:r>
          </w:p>
        </w:tc>
      </w:tr>
      <w:tr>
        <w:trPr>
          <w:cantSplit/>
        </w:trPr>
        <w:tc>
          <w:tcPr>
            <w:tcW w:type="dxa" w:w="1512"/>
            <w:vAlign w:val="center"/>
            <w:tcMar>
              <w:top w:w="105" w:type="dxa"/>
              <w:start w:w="125" w:type="dxa"/>
              <w:bottom w:w="105" w:type="dxa"/>
              <w:end w:w="125" w:type="dxa"/>
            </w:tcMar>
            <w:shd w:fill="F3F5F6"/>
          </w:tcPr>
          <w:p>
            <w:r>
              <w:rPr>
                <w:rFonts w:ascii="Aptos" w:hAnsi="Aptos"/>
                <w:color w:val="20272B"/>
                <w:sz w:val="16"/>
              </w:rPr>
              <w:t>Contradicted</w:t>
            </w:r>
          </w:p>
        </w:tc>
        <w:tc>
          <w:tcPr>
            <w:tcW w:type="dxa" w:w="4680"/>
            <w:vAlign w:val="center"/>
            <w:tcMar>
              <w:top w:w="105" w:type="dxa"/>
              <w:start w:w="125" w:type="dxa"/>
              <w:bottom w:w="105" w:type="dxa"/>
              <w:end w:w="125" w:type="dxa"/>
            </w:tcMar>
            <w:shd w:fill="F3F5F6"/>
          </w:tcPr>
          <w:p>
            <w:r>
              <w:rPr>
                <w:rFonts w:ascii="Aptos" w:hAnsi="Aptos"/>
                <w:color w:val="20272B"/>
                <w:sz w:val="16"/>
              </w:rPr>
              <w:t>Approved evidence conflicts with the claim</w:t>
            </w:r>
          </w:p>
        </w:tc>
        <w:tc>
          <w:tcPr>
            <w:tcW w:type="dxa" w:w="3096"/>
            <w:vAlign w:val="center"/>
            <w:tcMar>
              <w:top w:w="105" w:type="dxa"/>
              <w:start w:w="125" w:type="dxa"/>
              <w:bottom w:w="105" w:type="dxa"/>
              <w:end w:w="125" w:type="dxa"/>
            </w:tcMar>
            <w:shd w:fill="F3F5F6"/>
          </w:tcPr>
          <w:p>
            <w:r>
              <w:rPr>
                <w:rFonts w:ascii="Aptos" w:hAnsi="Aptos"/>
                <w:color w:val="20272B"/>
                <w:sz w:val="16"/>
              </w:rPr>
              <w:t>Fail and classify severity</w:t>
            </w:r>
          </w:p>
        </w:tc>
      </w:tr>
      <w:tr>
        <w:trPr>
          <w:cantSplit/>
        </w:trPr>
        <w:tc>
          <w:tcPr>
            <w:tcW w:type="dxa" w:w="1512"/>
            <w:vAlign w:val="center"/>
            <w:tcMar>
              <w:top w:w="105" w:type="dxa"/>
              <w:start w:w="125" w:type="dxa"/>
              <w:bottom w:w="105" w:type="dxa"/>
              <w:end w:w="125" w:type="dxa"/>
            </w:tcMar>
          </w:tcPr>
          <w:p>
            <w:r>
              <w:rPr>
                <w:rFonts w:ascii="Aptos" w:hAnsi="Aptos"/>
                <w:color w:val="20272B"/>
                <w:sz w:val="16"/>
              </w:rPr>
              <w:t>Unsupported</w:t>
            </w:r>
          </w:p>
        </w:tc>
        <w:tc>
          <w:tcPr>
            <w:tcW w:type="dxa" w:w="4680"/>
            <w:vAlign w:val="center"/>
            <w:tcMar>
              <w:top w:w="105" w:type="dxa"/>
              <w:start w:w="125" w:type="dxa"/>
              <w:bottom w:w="105" w:type="dxa"/>
              <w:end w:w="125" w:type="dxa"/>
            </w:tcMar>
          </w:tcPr>
          <w:p>
            <w:r>
              <w:rPr>
                <w:rFonts w:ascii="Aptos" w:hAnsi="Aptos"/>
                <w:color w:val="20272B"/>
                <w:sz w:val="16"/>
              </w:rPr>
              <w:t>Evidence does not justify the claim</w:t>
            </w:r>
          </w:p>
        </w:tc>
        <w:tc>
          <w:tcPr>
            <w:tcW w:type="dxa" w:w="3096"/>
            <w:vAlign w:val="center"/>
            <w:tcMar>
              <w:top w:w="105" w:type="dxa"/>
              <w:start w:w="125" w:type="dxa"/>
              <w:bottom w:w="105" w:type="dxa"/>
              <w:end w:w="125" w:type="dxa"/>
            </w:tcMar>
          </w:tcPr>
          <w:p>
            <w:r>
              <w:rPr>
                <w:rFonts w:ascii="Aptos" w:hAnsi="Aptos"/>
                <w:color w:val="20272B"/>
                <w:sz w:val="16"/>
              </w:rPr>
              <w:t>Fail grounding or policy boundary</w:t>
            </w:r>
          </w:p>
        </w:tc>
      </w:tr>
      <w:tr>
        <w:trPr>
          <w:cantSplit/>
        </w:trPr>
        <w:tc>
          <w:tcPr>
            <w:tcW w:type="dxa" w:w="1512"/>
            <w:vAlign w:val="center"/>
            <w:tcMar>
              <w:top w:w="105" w:type="dxa"/>
              <w:start w:w="125" w:type="dxa"/>
              <w:bottom w:w="105" w:type="dxa"/>
              <w:end w:w="125" w:type="dxa"/>
            </w:tcMar>
            <w:shd w:fill="F3F5F6"/>
          </w:tcPr>
          <w:p>
            <w:r>
              <w:rPr>
                <w:rFonts w:ascii="Aptos" w:hAnsi="Aptos"/>
                <w:color w:val="20272B"/>
                <w:sz w:val="16"/>
              </w:rPr>
              <w:t>Unverifiable</w:t>
            </w:r>
          </w:p>
        </w:tc>
        <w:tc>
          <w:tcPr>
            <w:tcW w:type="dxa" w:w="4680"/>
            <w:vAlign w:val="center"/>
            <w:tcMar>
              <w:top w:w="105" w:type="dxa"/>
              <w:start w:w="125" w:type="dxa"/>
              <w:bottom w:w="105" w:type="dxa"/>
              <w:end w:w="125" w:type="dxa"/>
            </w:tcMar>
            <w:shd w:fill="F3F5F6"/>
          </w:tcPr>
          <w:p>
            <w:r>
              <w:rPr>
                <w:rFonts w:ascii="Aptos" w:hAnsi="Aptos"/>
                <w:color w:val="20272B"/>
                <w:sz w:val="16"/>
              </w:rPr>
              <w:t>Available evidence cannot resolve the claim</w:t>
            </w:r>
          </w:p>
        </w:tc>
        <w:tc>
          <w:tcPr>
            <w:tcW w:type="dxa" w:w="3096"/>
            <w:vAlign w:val="center"/>
            <w:tcMar>
              <w:top w:w="105" w:type="dxa"/>
              <w:start w:w="125" w:type="dxa"/>
              <w:bottom w:w="105" w:type="dxa"/>
              <w:end w:w="125" w:type="dxa"/>
            </w:tcMar>
            <w:shd w:fill="F3F5F6"/>
          </w:tcPr>
          <w:p>
            <w:r>
              <w:rPr>
                <w:rFonts w:ascii="Aptos" w:hAnsi="Aptos"/>
                <w:color w:val="20272B"/>
                <w:sz w:val="16"/>
              </w:rPr>
              <w:t>Escalate or require abstention</w:t>
            </w:r>
          </w:p>
        </w:tc>
      </w:tr>
      <w:tr>
        <w:trPr>
          <w:cantSplit/>
        </w:trPr>
        <w:tc>
          <w:tcPr>
            <w:tcW w:type="dxa" w:w="1512"/>
            <w:vAlign w:val="center"/>
            <w:tcMar>
              <w:top w:w="105" w:type="dxa"/>
              <w:start w:w="125" w:type="dxa"/>
              <w:bottom w:w="105" w:type="dxa"/>
              <w:end w:w="125" w:type="dxa"/>
            </w:tcMar>
          </w:tcPr>
          <w:p>
            <w:r>
              <w:rPr>
                <w:rFonts w:ascii="Aptos" w:hAnsi="Aptos"/>
                <w:color w:val="20272B"/>
                <w:sz w:val="16"/>
              </w:rPr>
              <w:t>Nonfactual</w:t>
            </w:r>
          </w:p>
        </w:tc>
        <w:tc>
          <w:tcPr>
            <w:tcW w:type="dxa" w:w="4680"/>
            <w:vAlign w:val="center"/>
            <w:tcMar>
              <w:top w:w="105" w:type="dxa"/>
              <w:start w:w="125" w:type="dxa"/>
              <w:bottom w:w="105" w:type="dxa"/>
              <w:end w:w="125" w:type="dxa"/>
            </w:tcMar>
          </w:tcPr>
          <w:p>
            <w:r>
              <w:rPr>
                <w:rFonts w:ascii="Aptos" w:hAnsi="Aptos"/>
                <w:color w:val="20272B"/>
                <w:sz w:val="16"/>
              </w:rPr>
              <w:t>Opinion, instruction, tone, or other nonverifiable content</w:t>
            </w:r>
          </w:p>
        </w:tc>
        <w:tc>
          <w:tcPr>
            <w:tcW w:type="dxa" w:w="3096"/>
            <w:vAlign w:val="center"/>
            <w:tcMar>
              <w:top w:w="105" w:type="dxa"/>
              <w:start w:w="125" w:type="dxa"/>
              <w:bottom w:w="105" w:type="dxa"/>
              <w:end w:w="125" w:type="dxa"/>
            </w:tcMar>
          </w:tcPr>
          <w:p>
            <w:r>
              <w:rPr>
                <w:rFonts w:ascii="Aptos" w:hAnsi="Aptos"/>
                <w:color w:val="20272B"/>
                <w:sz w:val="16"/>
              </w:rPr>
              <w:t>Evaluate under another dimension</w:t>
            </w:r>
          </w:p>
        </w:tc>
      </w:tr>
    </w:tbl>
    <w:p>
      <w:pPr>
        <w:pStyle w:val="SmallText"/>
      </w:pPr>
    </w:p>
    <w:p>
      <w:pPr>
        <w:pStyle w:val="Heading2"/>
        <w:keepNext/>
      </w:pPr>
      <w:r>
        <w:t>Prompt for atomic claim extraction</w:t>
      </w:r>
    </w:p>
    <w:p>
      <w:pPr>
        <w:keepNext/>
      </w:pPr>
      <w:r>
        <w:rPr>
          <w:b/>
        </w:rPr>
        <w:t xml:space="preserve">Purpose  </w:t>
      </w:r>
      <w:r>
        <w:t>Create a checkable inventory of factual statements.</w:t>
      </w:r>
    </w:p>
    <w:p>
      <w:pPr>
        <w:pStyle w:val="SmallText"/>
        <w:keepNext/>
      </w:pPr>
      <w:r>
        <w:rPr>
          <w:b/>
        </w:rPr>
        <w:t>Copy prompt</w:t>
      </w:r>
    </w:p>
    <w:p>
      <w:pPr>
        <w:pStyle w:val="PromptText"/>
        <w:keepLines/>
      </w:pPr>
      <w:r>
        <w:t>Break the candidate response into atomic factual claims. Preserve names, dates, quantities, conditions, exceptions, and certainty words.</w:t>
      </w:r>
      <w:r>
        <w:br/>
      </w:r>
      <w:r/>
      <w:r>
        <w:br/>
      </w:r>
      <w:r>
        <w:t>CANDIDATE RESPONSE: [insert]</w:t>
      </w:r>
      <w:r>
        <w:br/>
      </w:r>
      <w:r/>
      <w:r>
        <w:br/>
      </w:r>
      <w:r>
        <w:t>For each claim return: claim ID, exact claim text, claim type, business impact if wrong, whether external verification is required, and the smallest evidence needed to verify it.</w:t>
      </w:r>
      <w:r>
        <w:br/>
      </w:r>
      <w:r/>
      <w:r>
        <w:br/>
      </w:r>
      <w:r>
        <w:t>Do not combine separate facts. Label opinions, recommendations, and formatting text as nonfactual.</w:t>
      </w:r>
      <w:r>
        <w:rPr>
          <w:rFonts w:ascii="Aptos" w:hAnsi="Aptos"/>
          <w:b/>
          <w:color w:val="5E6A70"/>
          <w:sz w:val="16"/>
        </w:rPr>
        <w:br/>
        <w:br/>
        <w:t>Tester review  Treat the output as evidence to inspect, not as the final verdict.</w:t>
      </w:r>
    </w:p>
    <w:p>
      <w:pPr>
        <w:pStyle w:val="Heading2"/>
        <w:keepNext/>
      </w:pPr>
      <w:r>
        <w:t>Prompt for claim grounding</w:t>
      </w:r>
    </w:p>
    <w:p>
      <w:pPr>
        <w:keepNext/>
      </w:pPr>
      <w:r>
        <w:rPr>
          <w:b/>
        </w:rPr>
        <w:t xml:space="preserve">Purpose  </w:t>
      </w:r>
      <w:r>
        <w:t>Compare each factual claim with approved evidence.</w:t>
      </w:r>
    </w:p>
    <w:p>
      <w:pPr>
        <w:pStyle w:val="SmallText"/>
        <w:keepNext/>
      </w:pPr>
      <w:r>
        <w:rPr>
          <w:b/>
        </w:rPr>
        <w:t>Copy prompt</w:t>
      </w:r>
    </w:p>
    <w:p>
      <w:pPr>
        <w:pStyle w:val="PromptText"/>
        <w:keepLines/>
      </w:pPr>
      <w:r>
        <w:t>Compare every atomic claim with the approved evidence only.</w:t>
      </w:r>
      <w:r>
        <w:br/>
      </w:r>
      <w:r/>
      <w:r>
        <w:br/>
      </w:r>
      <w:r>
        <w:t>ATOMIC CLAIMS: [insert]</w:t>
      </w:r>
      <w:r>
        <w:br/>
      </w:r>
      <w:r>
        <w:t>APPROVED EVIDENCE: [insert]</w:t>
      </w:r>
      <w:r>
        <w:br/>
      </w:r>
      <w:r>
        <w:t>EVIDENCE DATE AND VERSION: [insert]</w:t>
      </w:r>
      <w:r>
        <w:br/>
      </w:r>
      <w:r/>
      <w:r>
        <w:br/>
      </w:r>
      <w:r>
        <w:t>Label each claim supported, contradicted, unsupported, or unverifiable. Quote the shortest supporting or contradicting evidence span. Explain whether the claim overstates certainty or omits a material condition. Return no overall score until every claim has a label.</w:t>
      </w:r>
      <w:r>
        <w:rPr>
          <w:rFonts w:ascii="Aptos" w:hAnsi="Aptos"/>
          <w:b/>
          <w:color w:val="5E6A70"/>
          <w:sz w:val="16"/>
        </w:rPr>
        <w:br/>
        <w:br/>
        <w:t>Tester review  Treat the output as evidence to inspect, not as the final verdict.</w:t>
      </w:r>
    </w:p>
    <w:p>
      <w:pPr>
        <w:pStyle w:val="Heading1"/>
      </w:pPr>
      <w:r>
        <w:t>Citation verification</w:t>
      </w:r>
    </w:p>
    <w:p>
      <w:r>
        <w:t>A citation passes only when it exists, can be accessed by the intended user, is appropriate for the domain, is current enough for the claim, and supports the exact statement. Citation presence alone is not evidence quality.</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1440"/>
            <w:shd w:fill="162127"/>
            <w:vAlign w:val="center"/>
            <w:tcMar>
              <w:top w:w="115" w:type="dxa"/>
              <w:start w:w="125" w:type="dxa"/>
              <w:bottom w:w="115" w:type="dxa"/>
              <w:end w:w="125" w:type="dxa"/>
            </w:tcMar>
          </w:tcPr>
          <w:p>
            <w:pPr>
              <w:jc w:val="center"/>
            </w:pPr>
            <w:r>
              <w:rPr>
                <w:rFonts w:ascii="Aptos" w:hAnsi="Aptos"/>
                <w:b/>
                <w:color w:val="FFFFFF"/>
                <w:sz w:val="16"/>
              </w:rPr>
              <w:t>Check</w:t>
            </w:r>
          </w:p>
        </w:tc>
        <w:tc>
          <w:tcPr>
            <w:tcW w:type="dxa" w:w="3960"/>
            <w:shd w:fill="162127"/>
            <w:vAlign w:val="center"/>
            <w:tcMar>
              <w:top w:w="115" w:type="dxa"/>
              <w:start w:w="125" w:type="dxa"/>
              <w:bottom w:w="115" w:type="dxa"/>
              <w:end w:w="125" w:type="dxa"/>
            </w:tcMar>
          </w:tcPr>
          <w:p>
            <w:pPr>
              <w:jc w:val="center"/>
            </w:pPr>
            <w:r>
              <w:rPr>
                <w:rFonts w:ascii="Aptos" w:hAnsi="Aptos"/>
                <w:b/>
                <w:color w:val="FFFFFF"/>
                <w:sz w:val="16"/>
              </w:rPr>
              <w:t>Pass condition</w:t>
            </w:r>
          </w:p>
        </w:tc>
        <w:tc>
          <w:tcPr>
            <w:tcW w:type="dxa" w:w="3888"/>
            <w:shd w:fill="162127"/>
            <w:vAlign w:val="center"/>
            <w:tcMar>
              <w:top w:w="115" w:type="dxa"/>
              <w:start w:w="125" w:type="dxa"/>
              <w:bottom w:w="115" w:type="dxa"/>
              <w:end w:w="125" w:type="dxa"/>
            </w:tcMar>
          </w:tcPr>
          <w:p>
            <w:pPr>
              <w:jc w:val="center"/>
            </w:pPr>
            <w:r>
              <w:rPr>
                <w:rFonts w:ascii="Aptos" w:hAnsi="Aptos"/>
                <w:b/>
                <w:color w:val="FFFFFF"/>
                <w:sz w:val="16"/>
              </w:rPr>
              <w:t>Common failure</w:t>
            </w:r>
          </w:p>
        </w:tc>
      </w:tr>
      <w:tr>
        <w:trPr>
          <w:cantSplit/>
        </w:trPr>
        <w:tc>
          <w:tcPr>
            <w:tcW w:type="dxa" w:w="1440"/>
            <w:vAlign w:val="center"/>
            <w:tcMar>
              <w:top w:w="105" w:type="dxa"/>
              <w:start w:w="125" w:type="dxa"/>
              <w:bottom w:w="105" w:type="dxa"/>
              <w:end w:w="125" w:type="dxa"/>
            </w:tcMar>
          </w:tcPr>
          <w:p>
            <w:r>
              <w:rPr>
                <w:rFonts w:ascii="Aptos" w:hAnsi="Aptos"/>
                <w:color w:val="20272B"/>
                <w:sz w:val="16"/>
              </w:rPr>
              <w:t>Existence</w:t>
            </w:r>
          </w:p>
        </w:tc>
        <w:tc>
          <w:tcPr>
            <w:tcW w:type="dxa" w:w="3960"/>
            <w:vAlign w:val="center"/>
            <w:tcMar>
              <w:top w:w="105" w:type="dxa"/>
              <w:start w:w="125" w:type="dxa"/>
              <w:bottom w:w="105" w:type="dxa"/>
              <w:end w:w="125" w:type="dxa"/>
            </w:tcMar>
          </w:tcPr>
          <w:p>
            <w:r>
              <w:rPr>
                <w:rFonts w:ascii="Aptos" w:hAnsi="Aptos"/>
                <w:color w:val="20272B"/>
                <w:sz w:val="16"/>
              </w:rPr>
              <w:t>The source and cited location exist</w:t>
            </w:r>
          </w:p>
        </w:tc>
        <w:tc>
          <w:tcPr>
            <w:tcW w:type="dxa" w:w="3888"/>
            <w:vAlign w:val="center"/>
            <w:tcMar>
              <w:top w:w="105" w:type="dxa"/>
              <w:start w:w="125" w:type="dxa"/>
              <w:bottom w:w="105" w:type="dxa"/>
              <w:end w:w="125" w:type="dxa"/>
            </w:tcMar>
          </w:tcPr>
          <w:p>
            <w:r>
              <w:rPr>
                <w:rFonts w:ascii="Aptos" w:hAnsi="Aptos"/>
                <w:color w:val="20272B"/>
                <w:sz w:val="16"/>
              </w:rPr>
              <w:t>Invented URL, title, author, or section</w:t>
            </w:r>
          </w:p>
        </w:tc>
      </w:tr>
      <w:tr>
        <w:trPr>
          <w:cantSplit/>
        </w:trPr>
        <w:tc>
          <w:tcPr>
            <w:tcW w:type="dxa" w:w="1440"/>
            <w:vAlign w:val="center"/>
            <w:tcMar>
              <w:top w:w="105" w:type="dxa"/>
              <w:start w:w="125" w:type="dxa"/>
              <w:bottom w:w="105" w:type="dxa"/>
              <w:end w:w="125" w:type="dxa"/>
            </w:tcMar>
            <w:shd w:fill="F3F5F6"/>
          </w:tcPr>
          <w:p>
            <w:r>
              <w:rPr>
                <w:rFonts w:ascii="Aptos" w:hAnsi="Aptos"/>
                <w:color w:val="20272B"/>
                <w:sz w:val="16"/>
              </w:rPr>
              <w:t>Access</w:t>
            </w:r>
          </w:p>
        </w:tc>
        <w:tc>
          <w:tcPr>
            <w:tcW w:type="dxa" w:w="3960"/>
            <w:vAlign w:val="center"/>
            <w:tcMar>
              <w:top w:w="105" w:type="dxa"/>
              <w:start w:w="125" w:type="dxa"/>
              <w:bottom w:w="105" w:type="dxa"/>
              <w:end w:w="125" w:type="dxa"/>
            </w:tcMar>
            <w:shd w:fill="F3F5F6"/>
          </w:tcPr>
          <w:p>
            <w:r>
              <w:rPr>
                <w:rFonts w:ascii="Aptos" w:hAnsi="Aptos"/>
                <w:color w:val="20272B"/>
                <w:sz w:val="16"/>
              </w:rPr>
              <w:t>The intended user can open or retrieve it</w:t>
            </w:r>
          </w:p>
        </w:tc>
        <w:tc>
          <w:tcPr>
            <w:tcW w:type="dxa" w:w="3888"/>
            <w:vAlign w:val="center"/>
            <w:tcMar>
              <w:top w:w="105" w:type="dxa"/>
              <w:start w:w="125" w:type="dxa"/>
              <w:bottom w:w="105" w:type="dxa"/>
              <w:end w:w="125" w:type="dxa"/>
            </w:tcMar>
            <w:shd w:fill="F3F5F6"/>
          </w:tcPr>
          <w:p>
            <w:r>
              <w:rPr>
                <w:rFonts w:ascii="Aptos" w:hAnsi="Aptos"/>
                <w:color w:val="20272B"/>
                <w:sz w:val="16"/>
              </w:rPr>
              <w:t>Broken link or inaccessible internal source</w:t>
            </w:r>
          </w:p>
        </w:tc>
      </w:tr>
      <w:tr>
        <w:trPr>
          <w:cantSplit/>
        </w:trPr>
        <w:tc>
          <w:tcPr>
            <w:tcW w:type="dxa" w:w="1440"/>
            <w:vAlign w:val="center"/>
            <w:tcMar>
              <w:top w:w="105" w:type="dxa"/>
              <w:start w:w="125" w:type="dxa"/>
              <w:bottom w:w="105" w:type="dxa"/>
              <w:end w:w="125" w:type="dxa"/>
            </w:tcMar>
          </w:tcPr>
          <w:p>
            <w:r>
              <w:rPr>
                <w:rFonts w:ascii="Aptos" w:hAnsi="Aptos"/>
                <w:color w:val="20272B"/>
                <w:sz w:val="16"/>
              </w:rPr>
              <w:t>Authority</w:t>
            </w:r>
          </w:p>
        </w:tc>
        <w:tc>
          <w:tcPr>
            <w:tcW w:type="dxa" w:w="3960"/>
            <w:vAlign w:val="center"/>
            <w:tcMar>
              <w:top w:w="105" w:type="dxa"/>
              <w:start w:w="125" w:type="dxa"/>
              <w:bottom w:w="105" w:type="dxa"/>
              <w:end w:w="125" w:type="dxa"/>
            </w:tcMar>
          </w:tcPr>
          <w:p>
            <w:r>
              <w:rPr>
                <w:rFonts w:ascii="Aptos" w:hAnsi="Aptos"/>
                <w:color w:val="20272B"/>
                <w:sz w:val="16"/>
              </w:rPr>
              <w:t>The source is approved for this claim type</w:t>
            </w:r>
          </w:p>
        </w:tc>
        <w:tc>
          <w:tcPr>
            <w:tcW w:type="dxa" w:w="3888"/>
            <w:vAlign w:val="center"/>
            <w:tcMar>
              <w:top w:w="105" w:type="dxa"/>
              <w:start w:w="125" w:type="dxa"/>
              <w:bottom w:w="105" w:type="dxa"/>
              <w:end w:w="125" w:type="dxa"/>
            </w:tcMar>
          </w:tcPr>
          <w:p>
            <w:r>
              <w:rPr>
                <w:rFonts w:ascii="Aptos" w:hAnsi="Aptos"/>
                <w:color w:val="20272B"/>
                <w:sz w:val="16"/>
              </w:rPr>
              <w:t>Blog used instead of governing policy</w:t>
            </w:r>
          </w:p>
        </w:tc>
      </w:tr>
      <w:tr>
        <w:trPr>
          <w:cantSplit/>
        </w:trPr>
        <w:tc>
          <w:tcPr>
            <w:tcW w:type="dxa" w:w="1440"/>
            <w:vAlign w:val="center"/>
            <w:tcMar>
              <w:top w:w="105" w:type="dxa"/>
              <w:start w:w="125" w:type="dxa"/>
              <w:bottom w:w="105" w:type="dxa"/>
              <w:end w:w="125" w:type="dxa"/>
            </w:tcMar>
            <w:shd w:fill="F3F5F6"/>
          </w:tcPr>
          <w:p>
            <w:r>
              <w:rPr>
                <w:rFonts w:ascii="Aptos" w:hAnsi="Aptos"/>
                <w:color w:val="20272B"/>
                <w:sz w:val="16"/>
              </w:rPr>
              <w:t>Currency</w:t>
            </w:r>
          </w:p>
        </w:tc>
        <w:tc>
          <w:tcPr>
            <w:tcW w:type="dxa" w:w="3960"/>
            <w:vAlign w:val="center"/>
            <w:tcMar>
              <w:top w:w="105" w:type="dxa"/>
              <w:start w:w="125" w:type="dxa"/>
              <w:bottom w:w="105" w:type="dxa"/>
              <w:end w:w="125" w:type="dxa"/>
            </w:tcMar>
            <w:shd w:fill="F3F5F6"/>
          </w:tcPr>
          <w:p>
            <w:r>
              <w:rPr>
                <w:rFonts w:ascii="Aptos" w:hAnsi="Aptos"/>
                <w:color w:val="20272B"/>
                <w:sz w:val="16"/>
              </w:rPr>
              <w:t>The version and effective date are appropriate</w:t>
            </w:r>
          </w:p>
        </w:tc>
        <w:tc>
          <w:tcPr>
            <w:tcW w:type="dxa" w:w="3888"/>
            <w:vAlign w:val="center"/>
            <w:tcMar>
              <w:top w:w="105" w:type="dxa"/>
              <w:start w:w="125" w:type="dxa"/>
              <w:bottom w:w="105" w:type="dxa"/>
              <w:end w:w="125" w:type="dxa"/>
            </w:tcMar>
            <w:shd w:fill="F3F5F6"/>
          </w:tcPr>
          <w:p>
            <w:r>
              <w:rPr>
                <w:rFonts w:ascii="Aptos" w:hAnsi="Aptos"/>
                <w:color w:val="20272B"/>
                <w:sz w:val="16"/>
              </w:rPr>
              <w:t>Superseded procedure or stale data</w:t>
            </w:r>
          </w:p>
        </w:tc>
      </w:tr>
      <w:tr>
        <w:trPr>
          <w:cantSplit/>
        </w:trPr>
        <w:tc>
          <w:tcPr>
            <w:tcW w:type="dxa" w:w="1440"/>
            <w:vAlign w:val="center"/>
            <w:tcMar>
              <w:top w:w="105" w:type="dxa"/>
              <w:start w:w="125" w:type="dxa"/>
              <w:bottom w:w="105" w:type="dxa"/>
              <w:end w:w="125" w:type="dxa"/>
            </w:tcMar>
          </w:tcPr>
          <w:p>
            <w:r>
              <w:rPr>
                <w:rFonts w:ascii="Aptos" w:hAnsi="Aptos"/>
                <w:color w:val="20272B"/>
                <w:sz w:val="16"/>
              </w:rPr>
              <w:t>Entailment</w:t>
            </w:r>
          </w:p>
        </w:tc>
        <w:tc>
          <w:tcPr>
            <w:tcW w:type="dxa" w:w="3960"/>
            <w:vAlign w:val="center"/>
            <w:tcMar>
              <w:top w:w="105" w:type="dxa"/>
              <w:start w:w="125" w:type="dxa"/>
              <w:bottom w:w="105" w:type="dxa"/>
              <w:end w:w="125" w:type="dxa"/>
            </w:tcMar>
          </w:tcPr>
          <w:p>
            <w:r>
              <w:rPr>
                <w:rFonts w:ascii="Aptos" w:hAnsi="Aptos"/>
                <w:color w:val="20272B"/>
                <w:sz w:val="16"/>
              </w:rPr>
              <w:t>The source supports the exact claim and certainty</w:t>
            </w:r>
          </w:p>
        </w:tc>
        <w:tc>
          <w:tcPr>
            <w:tcW w:type="dxa" w:w="3888"/>
            <w:vAlign w:val="center"/>
            <w:tcMar>
              <w:top w:w="105" w:type="dxa"/>
              <w:start w:w="125" w:type="dxa"/>
              <w:bottom w:w="105" w:type="dxa"/>
              <w:end w:w="125" w:type="dxa"/>
            </w:tcMar>
          </w:tcPr>
          <w:p>
            <w:r>
              <w:rPr>
                <w:rFonts w:ascii="Aptos" w:hAnsi="Aptos"/>
                <w:color w:val="20272B"/>
                <w:sz w:val="16"/>
              </w:rPr>
              <w:t>Decorative citation or partial match</w:t>
            </w:r>
          </w:p>
        </w:tc>
      </w:tr>
      <w:tr>
        <w:trPr>
          <w:cantSplit/>
        </w:trPr>
        <w:tc>
          <w:tcPr>
            <w:tcW w:type="dxa" w:w="1440"/>
            <w:vAlign w:val="center"/>
            <w:tcMar>
              <w:top w:w="105" w:type="dxa"/>
              <w:start w:w="125" w:type="dxa"/>
              <w:bottom w:w="105" w:type="dxa"/>
              <w:end w:w="125" w:type="dxa"/>
            </w:tcMar>
            <w:shd w:fill="F3F5F6"/>
          </w:tcPr>
          <w:p>
            <w:r>
              <w:rPr>
                <w:rFonts w:ascii="Aptos" w:hAnsi="Aptos"/>
                <w:color w:val="20272B"/>
                <w:sz w:val="16"/>
              </w:rPr>
              <w:t>Coverage</w:t>
            </w:r>
          </w:p>
        </w:tc>
        <w:tc>
          <w:tcPr>
            <w:tcW w:type="dxa" w:w="3960"/>
            <w:vAlign w:val="center"/>
            <w:tcMar>
              <w:top w:w="105" w:type="dxa"/>
              <w:start w:w="125" w:type="dxa"/>
              <w:bottom w:w="105" w:type="dxa"/>
              <w:end w:w="125" w:type="dxa"/>
            </w:tcMar>
            <w:shd w:fill="F3F5F6"/>
          </w:tcPr>
          <w:p>
            <w:r>
              <w:rPr>
                <w:rFonts w:ascii="Aptos" w:hAnsi="Aptos"/>
                <w:color w:val="20272B"/>
                <w:sz w:val="16"/>
              </w:rPr>
              <w:t>Every material factual claim has required support</w:t>
            </w:r>
          </w:p>
        </w:tc>
        <w:tc>
          <w:tcPr>
            <w:tcW w:type="dxa" w:w="3888"/>
            <w:vAlign w:val="center"/>
            <w:tcMar>
              <w:top w:w="105" w:type="dxa"/>
              <w:start w:w="125" w:type="dxa"/>
              <w:bottom w:w="105" w:type="dxa"/>
              <w:end w:w="125" w:type="dxa"/>
            </w:tcMar>
            <w:shd w:fill="F3F5F6"/>
          </w:tcPr>
          <w:p>
            <w:r>
              <w:rPr>
                <w:rFonts w:ascii="Aptos" w:hAnsi="Aptos"/>
                <w:color w:val="20272B"/>
                <w:sz w:val="16"/>
              </w:rPr>
              <w:t>One citation attached to several unsupported claims</w:t>
            </w:r>
          </w:p>
        </w:tc>
      </w:tr>
    </w:tbl>
    <w:p>
      <w:pPr>
        <w:pStyle w:val="SmallText"/>
      </w:pPr>
    </w:p>
    <w:p>
      <w:pPr>
        <w:pStyle w:val="Heading2"/>
        <w:keepNext/>
      </w:pPr>
      <w:r>
        <w:t>Prompt for citation verification</w:t>
      </w:r>
    </w:p>
    <w:p>
      <w:pPr>
        <w:keepNext/>
      </w:pPr>
      <w:r>
        <w:rPr>
          <w:b/>
        </w:rPr>
        <w:t xml:space="preserve">Purpose  </w:t>
      </w:r>
      <w:r>
        <w:t>Audit citation support at the claim level.</w:t>
      </w:r>
    </w:p>
    <w:p>
      <w:pPr>
        <w:pStyle w:val="SmallText"/>
        <w:keepNext/>
      </w:pPr>
      <w:r>
        <w:rPr>
          <w:b/>
        </w:rPr>
        <w:t>Copy prompt</w:t>
      </w:r>
    </w:p>
    <w:p>
      <w:pPr>
        <w:pStyle w:val="PromptText"/>
        <w:keepLines/>
      </w:pPr>
      <w:r>
        <w:t>Audit the citations in the candidate response.</w:t>
      </w:r>
      <w:r>
        <w:br/>
      </w:r>
      <w:r/>
      <w:r>
        <w:br/>
      </w:r>
      <w:r>
        <w:t>CANDIDATE RESPONSE: [insert]</w:t>
      </w:r>
      <w:r>
        <w:br/>
      </w:r>
      <w:r>
        <w:t>CITED SOURCES OR EXCERPTS: [insert]</w:t>
      </w:r>
      <w:r>
        <w:br/>
      </w:r>
      <w:r>
        <w:t>APPROVED SOURCE POLICY: [insert]</w:t>
      </w:r>
      <w:r>
        <w:br/>
      </w:r>
      <w:r/>
      <w:r>
        <w:br/>
      </w:r>
      <w:r>
        <w:t>For each citation report: cited claim, source existence, access, authority, currency, exact supporting passage, entailment verdict, coverage verdict, and severity if failed.</w:t>
      </w:r>
      <w:r>
        <w:br/>
      </w:r>
      <w:r/>
      <w:r>
        <w:br/>
      </w:r>
      <w:r>
        <w:t>Do not treat topic similarity as support. Flag citations that support only part of a claim or a weaker level of certainty. State when the source content was not available for verification.</w:t>
      </w:r>
      <w:r>
        <w:rPr>
          <w:rFonts w:ascii="Aptos" w:hAnsi="Aptos"/>
          <w:b/>
          <w:color w:val="5E6A70"/>
          <w:sz w:val="16"/>
        </w:rPr>
        <w:br/>
        <w:br/>
        <w:t>Tester review  Treat the output as evidence to inspect, not as the final verdict.</w:t>
      </w:r>
    </w:p>
    <w:p>
      <w:pPr>
        <w:pStyle w:val="Heading1"/>
      </w:pPr>
      <w:r>
        <w:t>Retrieval augmented generation checks</w:t>
      </w:r>
    </w:p>
    <w:p>
      <w:r>
        <w:t>Evaluate retrieval before judging the generated answer. A good answer cannot reliably emerge when the correct document was excluded, filtered incorrectly, chunked poorly, or ranked below irrelevant material.</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1440"/>
            <w:shd w:fill="162127"/>
            <w:vAlign w:val="center"/>
            <w:tcMar>
              <w:top w:w="115" w:type="dxa"/>
              <w:start w:w="125" w:type="dxa"/>
              <w:bottom w:w="115" w:type="dxa"/>
              <w:end w:w="125" w:type="dxa"/>
            </w:tcMar>
          </w:tcPr>
          <w:p>
            <w:pPr>
              <w:jc w:val="center"/>
            </w:pPr>
            <w:r>
              <w:rPr>
                <w:rFonts w:ascii="Aptos" w:hAnsi="Aptos"/>
                <w:b/>
                <w:color w:val="FFFFFF"/>
                <w:sz w:val="16"/>
              </w:rPr>
              <w:t>Layer</w:t>
            </w:r>
          </w:p>
        </w:tc>
        <w:tc>
          <w:tcPr>
            <w:tcW w:type="dxa" w:w="4536"/>
            <w:shd w:fill="162127"/>
            <w:vAlign w:val="center"/>
            <w:tcMar>
              <w:top w:w="115" w:type="dxa"/>
              <w:start w:w="125" w:type="dxa"/>
              <w:bottom w:w="115" w:type="dxa"/>
              <w:end w:w="125" w:type="dxa"/>
            </w:tcMar>
          </w:tcPr>
          <w:p>
            <w:pPr>
              <w:jc w:val="center"/>
            </w:pPr>
            <w:r>
              <w:rPr>
                <w:rFonts w:ascii="Aptos" w:hAnsi="Aptos"/>
                <w:b/>
                <w:color w:val="FFFFFF"/>
                <w:sz w:val="16"/>
              </w:rPr>
              <w:t>Questions</w:t>
            </w:r>
          </w:p>
        </w:tc>
        <w:tc>
          <w:tcPr>
            <w:tcW w:type="dxa" w:w="3312"/>
            <w:shd w:fill="162127"/>
            <w:vAlign w:val="center"/>
            <w:tcMar>
              <w:top w:w="115" w:type="dxa"/>
              <w:start w:w="125" w:type="dxa"/>
              <w:bottom w:w="115" w:type="dxa"/>
              <w:end w:w="125" w:type="dxa"/>
            </w:tcMar>
          </w:tcPr>
          <w:p>
            <w:pPr>
              <w:jc w:val="center"/>
            </w:pPr>
            <w:r>
              <w:rPr>
                <w:rFonts w:ascii="Aptos" w:hAnsi="Aptos"/>
                <w:b/>
                <w:color w:val="FFFFFF"/>
                <w:sz w:val="16"/>
              </w:rPr>
              <w:t>Typical evidence</w:t>
            </w:r>
          </w:p>
        </w:tc>
      </w:tr>
      <w:tr>
        <w:trPr>
          <w:cantSplit/>
        </w:trPr>
        <w:tc>
          <w:tcPr>
            <w:tcW w:type="dxa" w:w="1440"/>
            <w:vAlign w:val="center"/>
            <w:tcMar>
              <w:top w:w="105" w:type="dxa"/>
              <w:start w:w="125" w:type="dxa"/>
              <w:bottom w:w="105" w:type="dxa"/>
              <w:end w:w="125" w:type="dxa"/>
            </w:tcMar>
          </w:tcPr>
          <w:p>
            <w:r>
              <w:rPr>
                <w:rFonts w:ascii="Aptos" w:hAnsi="Aptos"/>
                <w:color w:val="20272B"/>
                <w:sz w:val="16"/>
              </w:rPr>
              <w:t>Source</w:t>
            </w:r>
          </w:p>
        </w:tc>
        <w:tc>
          <w:tcPr>
            <w:tcW w:type="dxa" w:w="4536"/>
            <w:vAlign w:val="center"/>
            <w:tcMar>
              <w:top w:w="105" w:type="dxa"/>
              <w:start w:w="125" w:type="dxa"/>
              <w:bottom w:w="105" w:type="dxa"/>
              <w:end w:w="125" w:type="dxa"/>
            </w:tcMar>
          </w:tcPr>
          <w:p>
            <w:r>
              <w:rPr>
                <w:rFonts w:ascii="Aptos" w:hAnsi="Aptos"/>
                <w:color w:val="20272B"/>
                <w:sz w:val="16"/>
              </w:rPr>
              <w:t>Is the approved data current, complete, authorized, and versioned?</w:t>
            </w:r>
          </w:p>
        </w:tc>
        <w:tc>
          <w:tcPr>
            <w:tcW w:type="dxa" w:w="3312"/>
            <w:vAlign w:val="center"/>
            <w:tcMar>
              <w:top w:w="105" w:type="dxa"/>
              <w:start w:w="125" w:type="dxa"/>
              <w:bottom w:w="105" w:type="dxa"/>
              <w:end w:w="125" w:type="dxa"/>
            </w:tcMar>
          </w:tcPr>
          <w:p>
            <w:r>
              <w:rPr>
                <w:rFonts w:ascii="Aptos" w:hAnsi="Aptos"/>
                <w:color w:val="20272B"/>
                <w:sz w:val="16"/>
              </w:rPr>
              <w:t>Document ID, owner, effective date, permissions</w:t>
            </w:r>
          </w:p>
        </w:tc>
      </w:tr>
      <w:tr>
        <w:trPr>
          <w:cantSplit/>
        </w:trPr>
        <w:tc>
          <w:tcPr>
            <w:tcW w:type="dxa" w:w="1440"/>
            <w:vAlign w:val="center"/>
            <w:tcMar>
              <w:top w:w="105" w:type="dxa"/>
              <w:start w:w="125" w:type="dxa"/>
              <w:bottom w:w="105" w:type="dxa"/>
              <w:end w:w="125" w:type="dxa"/>
            </w:tcMar>
            <w:shd w:fill="F3F5F6"/>
          </w:tcPr>
          <w:p>
            <w:r>
              <w:rPr>
                <w:rFonts w:ascii="Aptos" w:hAnsi="Aptos"/>
                <w:color w:val="20272B"/>
                <w:sz w:val="16"/>
              </w:rPr>
              <w:t>Ingestion</w:t>
            </w:r>
          </w:p>
        </w:tc>
        <w:tc>
          <w:tcPr>
            <w:tcW w:type="dxa" w:w="4536"/>
            <w:vAlign w:val="center"/>
            <w:tcMar>
              <w:top w:w="105" w:type="dxa"/>
              <w:start w:w="125" w:type="dxa"/>
              <w:bottom w:w="105" w:type="dxa"/>
              <w:end w:w="125" w:type="dxa"/>
            </w:tcMar>
            <w:shd w:fill="F3F5F6"/>
          </w:tcPr>
          <w:p>
            <w:r>
              <w:rPr>
                <w:rFonts w:ascii="Aptos" w:hAnsi="Aptos"/>
                <w:color w:val="20272B"/>
                <w:sz w:val="16"/>
              </w:rPr>
              <w:t>Was the content parsed, chunked, and indexed without losing meaning?</w:t>
            </w:r>
          </w:p>
        </w:tc>
        <w:tc>
          <w:tcPr>
            <w:tcW w:type="dxa" w:w="3312"/>
            <w:vAlign w:val="center"/>
            <w:tcMar>
              <w:top w:w="105" w:type="dxa"/>
              <w:start w:w="125" w:type="dxa"/>
              <w:bottom w:w="105" w:type="dxa"/>
              <w:end w:w="125" w:type="dxa"/>
            </w:tcMar>
            <w:shd w:fill="F3F5F6"/>
          </w:tcPr>
          <w:p>
            <w:r>
              <w:rPr>
                <w:rFonts w:ascii="Aptos" w:hAnsi="Aptos"/>
                <w:color w:val="20272B"/>
                <w:sz w:val="16"/>
              </w:rPr>
              <w:t>Chunk text, metadata, ingestion logs</w:t>
            </w:r>
          </w:p>
        </w:tc>
      </w:tr>
      <w:tr>
        <w:trPr>
          <w:cantSplit/>
        </w:trPr>
        <w:tc>
          <w:tcPr>
            <w:tcW w:type="dxa" w:w="1440"/>
            <w:vAlign w:val="center"/>
            <w:tcMar>
              <w:top w:w="105" w:type="dxa"/>
              <w:start w:w="125" w:type="dxa"/>
              <w:bottom w:w="105" w:type="dxa"/>
              <w:end w:w="125" w:type="dxa"/>
            </w:tcMar>
          </w:tcPr>
          <w:p>
            <w:r>
              <w:rPr>
                <w:rFonts w:ascii="Aptos" w:hAnsi="Aptos"/>
                <w:color w:val="20272B"/>
                <w:sz w:val="16"/>
              </w:rPr>
              <w:t>Retrieval</w:t>
            </w:r>
          </w:p>
        </w:tc>
        <w:tc>
          <w:tcPr>
            <w:tcW w:type="dxa" w:w="4536"/>
            <w:vAlign w:val="center"/>
            <w:tcMar>
              <w:top w:w="105" w:type="dxa"/>
              <w:start w:w="125" w:type="dxa"/>
              <w:bottom w:w="105" w:type="dxa"/>
              <w:end w:w="125" w:type="dxa"/>
            </w:tcMar>
          </w:tcPr>
          <w:p>
            <w:r>
              <w:rPr>
                <w:rFonts w:ascii="Aptos" w:hAnsi="Aptos"/>
                <w:color w:val="20272B"/>
                <w:sz w:val="16"/>
              </w:rPr>
              <w:t>Were the necessary passages found and ranked?</w:t>
            </w:r>
          </w:p>
        </w:tc>
        <w:tc>
          <w:tcPr>
            <w:tcW w:type="dxa" w:w="3312"/>
            <w:vAlign w:val="center"/>
            <w:tcMar>
              <w:top w:w="105" w:type="dxa"/>
              <w:start w:w="125" w:type="dxa"/>
              <w:bottom w:w="105" w:type="dxa"/>
              <w:end w:w="125" w:type="dxa"/>
            </w:tcMar>
          </w:tcPr>
          <w:p>
            <w:r>
              <w:rPr>
                <w:rFonts w:ascii="Aptos" w:hAnsi="Aptos"/>
                <w:color w:val="20272B"/>
                <w:sz w:val="16"/>
              </w:rPr>
              <w:t>Top k passages, scores, filters</w:t>
            </w:r>
          </w:p>
        </w:tc>
      </w:tr>
      <w:tr>
        <w:trPr>
          <w:cantSplit/>
        </w:trPr>
        <w:tc>
          <w:tcPr>
            <w:tcW w:type="dxa" w:w="1440"/>
            <w:vAlign w:val="center"/>
            <w:tcMar>
              <w:top w:w="105" w:type="dxa"/>
              <w:start w:w="125" w:type="dxa"/>
              <w:bottom w:w="105" w:type="dxa"/>
              <w:end w:w="125" w:type="dxa"/>
            </w:tcMar>
            <w:shd w:fill="F3F5F6"/>
          </w:tcPr>
          <w:p>
            <w:r>
              <w:rPr>
                <w:rFonts w:ascii="Aptos" w:hAnsi="Aptos"/>
                <w:color w:val="20272B"/>
                <w:sz w:val="16"/>
              </w:rPr>
              <w:t>Generation</w:t>
            </w:r>
          </w:p>
        </w:tc>
        <w:tc>
          <w:tcPr>
            <w:tcW w:type="dxa" w:w="4536"/>
            <w:vAlign w:val="center"/>
            <w:tcMar>
              <w:top w:w="105" w:type="dxa"/>
              <w:start w:w="125" w:type="dxa"/>
              <w:bottom w:w="105" w:type="dxa"/>
              <w:end w:w="125" w:type="dxa"/>
            </w:tcMar>
            <w:shd w:fill="F3F5F6"/>
          </w:tcPr>
          <w:p>
            <w:r>
              <w:rPr>
                <w:rFonts w:ascii="Aptos" w:hAnsi="Aptos"/>
                <w:color w:val="20272B"/>
                <w:sz w:val="16"/>
              </w:rPr>
              <w:t>Did every factual claim follow from retrieved evidence?</w:t>
            </w:r>
          </w:p>
        </w:tc>
        <w:tc>
          <w:tcPr>
            <w:tcW w:type="dxa" w:w="3312"/>
            <w:vAlign w:val="center"/>
            <w:tcMar>
              <w:top w:w="105" w:type="dxa"/>
              <w:start w:w="125" w:type="dxa"/>
              <w:bottom w:w="105" w:type="dxa"/>
              <w:end w:w="125" w:type="dxa"/>
            </w:tcMar>
            <w:shd w:fill="F3F5F6"/>
          </w:tcPr>
          <w:p>
            <w:r>
              <w:rPr>
                <w:rFonts w:ascii="Aptos" w:hAnsi="Aptos"/>
                <w:color w:val="20272B"/>
                <w:sz w:val="16"/>
              </w:rPr>
              <w:t>Response, claim labels, evidence spans</w:t>
            </w:r>
          </w:p>
        </w:tc>
      </w:tr>
      <w:tr>
        <w:trPr>
          <w:cantSplit/>
        </w:trPr>
        <w:tc>
          <w:tcPr>
            <w:tcW w:type="dxa" w:w="1440"/>
            <w:vAlign w:val="center"/>
            <w:tcMar>
              <w:top w:w="105" w:type="dxa"/>
              <w:start w:w="125" w:type="dxa"/>
              <w:bottom w:w="105" w:type="dxa"/>
              <w:end w:w="125" w:type="dxa"/>
            </w:tcMar>
          </w:tcPr>
          <w:p>
            <w:r>
              <w:rPr>
                <w:rFonts w:ascii="Aptos" w:hAnsi="Aptos"/>
                <w:color w:val="20272B"/>
                <w:sz w:val="16"/>
              </w:rPr>
              <w:t>Citation</w:t>
            </w:r>
          </w:p>
        </w:tc>
        <w:tc>
          <w:tcPr>
            <w:tcW w:type="dxa" w:w="4536"/>
            <w:vAlign w:val="center"/>
            <w:tcMar>
              <w:top w:w="105" w:type="dxa"/>
              <w:start w:w="125" w:type="dxa"/>
              <w:bottom w:w="105" w:type="dxa"/>
              <w:end w:w="125" w:type="dxa"/>
            </w:tcMar>
          </w:tcPr>
          <w:p>
            <w:r>
              <w:rPr>
                <w:rFonts w:ascii="Aptos" w:hAnsi="Aptos"/>
                <w:color w:val="20272B"/>
                <w:sz w:val="16"/>
              </w:rPr>
              <w:t>Did the links point to the passages supporting each claim?</w:t>
            </w:r>
          </w:p>
        </w:tc>
        <w:tc>
          <w:tcPr>
            <w:tcW w:type="dxa" w:w="3312"/>
            <w:vAlign w:val="center"/>
            <w:tcMar>
              <w:top w:w="105" w:type="dxa"/>
              <w:start w:w="125" w:type="dxa"/>
              <w:bottom w:w="105" w:type="dxa"/>
              <w:end w:w="125" w:type="dxa"/>
            </w:tcMar>
          </w:tcPr>
          <w:p>
            <w:r>
              <w:rPr>
                <w:rFonts w:ascii="Aptos" w:hAnsi="Aptos"/>
                <w:color w:val="20272B"/>
                <w:sz w:val="16"/>
              </w:rPr>
              <w:t>Citation mapping and access result</w:t>
            </w:r>
          </w:p>
        </w:tc>
      </w:tr>
      <w:tr>
        <w:trPr>
          <w:cantSplit/>
        </w:trPr>
        <w:tc>
          <w:tcPr>
            <w:tcW w:type="dxa" w:w="1440"/>
            <w:vAlign w:val="center"/>
            <w:tcMar>
              <w:top w:w="105" w:type="dxa"/>
              <w:start w:w="125" w:type="dxa"/>
              <w:bottom w:w="105" w:type="dxa"/>
              <w:end w:w="125" w:type="dxa"/>
            </w:tcMar>
            <w:shd w:fill="F3F5F6"/>
          </w:tcPr>
          <w:p>
            <w:r>
              <w:rPr>
                <w:rFonts w:ascii="Aptos" w:hAnsi="Aptos"/>
                <w:color w:val="20272B"/>
                <w:sz w:val="16"/>
              </w:rPr>
              <w:t>Business control</w:t>
            </w:r>
          </w:p>
        </w:tc>
        <w:tc>
          <w:tcPr>
            <w:tcW w:type="dxa" w:w="4536"/>
            <w:vAlign w:val="center"/>
            <w:tcMar>
              <w:top w:w="105" w:type="dxa"/>
              <w:start w:w="125" w:type="dxa"/>
              <w:bottom w:w="105" w:type="dxa"/>
              <w:end w:w="125" w:type="dxa"/>
            </w:tcMar>
            <w:shd w:fill="F3F5F6"/>
          </w:tcPr>
          <w:p>
            <w:r>
              <w:rPr>
                <w:rFonts w:ascii="Aptos" w:hAnsi="Aptos"/>
                <w:color w:val="20272B"/>
                <w:sz w:val="16"/>
              </w:rPr>
              <w:t>Did the system abstain or escalate when evidence was insufficient?</w:t>
            </w:r>
          </w:p>
        </w:tc>
        <w:tc>
          <w:tcPr>
            <w:tcW w:type="dxa" w:w="3312"/>
            <w:vAlign w:val="center"/>
            <w:tcMar>
              <w:top w:w="105" w:type="dxa"/>
              <w:start w:w="125" w:type="dxa"/>
              <w:bottom w:w="105" w:type="dxa"/>
              <w:end w:w="125" w:type="dxa"/>
            </w:tcMar>
            <w:shd w:fill="F3F5F6"/>
          </w:tcPr>
          <w:p>
            <w:r>
              <w:rPr>
                <w:rFonts w:ascii="Aptos" w:hAnsi="Aptos"/>
                <w:color w:val="20272B"/>
                <w:sz w:val="16"/>
              </w:rPr>
              <w:t>Decision trace and fallback result</w:t>
            </w:r>
          </w:p>
        </w:tc>
      </w:tr>
    </w:tbl>
    <w:p>
      <w:pPr>
        <w:pStyle w:val="SmallText"/>
      </w:pPr>
    </w:p>
    <w:p>
      <w:pPr>
        <w:pStyle w:val="Heading2"/>
        <w:keepNext/>
      </w:pPr>
      <w:r>
        <w:t>Prompt for RAG failure diagnosis</w:t>
      </w:r>
    </w:p>
    <w:p>
      <w:pPr>
        <w:keepNext/>
      </w:pPr>
      <w:r>
        <w:rPr>
          <w:b/>
        </w:rPr>
        <w:t xml:space="preserve">Purpose  </w:t>
      </w:r>
      <w:r>
        <w:t>Locate the pipeline stage responsible for a failed answer.</w:t>
      </w:r>
    </w:p>
    <w:p>
      <w:pPr>
        <w:pStyle w:val="SmallText"/>
        <w:keepNext/>
      </w:pPr>
      <w:r>
        <w:rPr>
          <w:b/>
        </w:rPr>
        <w:t>Copy prompt</w:t>
      </w:r>
    </w:p>
    <w:p>
      <w:pPr>
        <w:pStyle w:val="PromptText"/>
        <w:keepLines/>
      </w:pPr>
      <w:r>
        <w:t>Diagnose the failed RAG interaction without assuming the model is the only cause.</w:t>
      </w:r>
      <w:r>
        <w:br/>
      </w:r>
      <w:r/>
      <w:r>
        <w:br/>
      </w:r>
      <w:r>
        <w:t>QUESTION: [insert]</w:t>
      </w:r>
      <w:r>
        <w:br/>
      </w:r>
      <w:r>
        <w:t>EXPECTED EVIDENCE: [insert]</w:t>
      </w:r>
      <w:r>
        <w:br/>
      </w:r>
      <w:r>
        <w:t>RETRIEVED PASSAGES IN RANK ORDER: [insert]</w:t>
      </w:r>
      <w:r>
        <w:br/>
      </w:r>
      <w:r>
        <w:t>GENERATED RESPONSE: [insert]</w:t>
      </w:r>
      <w:r>
        <w:br/>
      </w:r>
      <w:r>
        <w:t>CITATIONS: [insert]</w:t>
      </w:r>
      <w:r>
        <w:br/>
      </w:r>
      <w:r>
        <w:t>CONFIGURATION: [insert]</w:t>
      </w:r>
      <w:r>
        <w:br/>
      </w:r>
      <w:r/>
      <w:r>
        <w:br/>
      </w:r>
      <w:r>
        <w:t>Assess source quality, ingestion or chunking, permissions and filters, retrieval recall, retrieval precision, ranking, generation faithfulness, citation mapping, and abstention behavior.</w:t>
      </w:r>
      <w:r>
        <w:br/>
      </w:r>
      <w:r/>
      <w:r>
        <w:br/>
      </w:r>
      <w:r>
        <w:t>Return: most likely failure stage, evidence, alternative explanation, confidence, next diagnostic test, and recommended owner. Do not state root cause when the trace is insufficient.</w:t>
      </w:r>
      <w:r>
        <w:rPr>
          <w:rFonts w:ascii="Aptos" w:hAnsi="Aptos"/>
          <w:b/>
          <w:color w:val="5E6A70"/>
          <w:sz w:val="16"/>
        </w:rPr>
        <w:br/>
        <w:br/>
        <w:t>Tester review  Treat the output as evidence to inspect, not as the final verdict.</w:t>
      </w:r>
    </w:p>
    <w:p>
      <w:pPr>
        <w:pStyle w:val="Heading1"/>
      </w:pPr>
      <w:r>
        <w:t>References</w:t>
      </w:r>
    </w:p>
    <w:p>
      <w:pPr>
        <w:pStyle w:val="SmallText"/>
        <w:ind w:left="317" w:hanging="317"/>
      </w:pPr>
      <w:r>
        <w:t>1. National Institute of Standards and Technology. Artificial Intelligence Risk Management Framework AI RMF 1 0. NIST AI 100 1. 2023. https://doi.org/10.6028/NIST.AI.100-1</w:t>
      </w:r>
    </w:p>
    <w:p>
      <w:pPr>
        <w:pStyle w:val="SmallText"/>
        <w:ind w:left="317" w:hanging="317"/>
      </w:pPr>
      <w:r>
        <w:t>2. Autio C Schwartz R Dunietz J et al. Artificial Intelligence Risk Management Framework Generative Artificial Intelligence Profile. NIST AI 600 1. 2024. https://doi.org/10.6028/NIST.AI.600-1</w:t>
      </w:r>
    </w:p>
    <w:p>
      <w:pPr>
        <w:pStyle w:val="SmallText"/>
        <w:ind w:left="317" w:hanging="317"/>
      </w:pPr>
      <w:r>
        <w:t>3. National Institute of Standards and Technology. Assessing Risks and Impacts of AI Pilot Evaluation Report. NIST AI 700 2. 2025. https://doi.org/10.6028/NIST.AI.700-2</w:t>
      </w:r>
    </w:p>
    <w:p>
      <w:pPr>
        <w:pStyle w:val="SmallText"/>
        <w:ind w:left="317" w:hanging="317"/>
      </w:pPr>
      <w:r>
        <w:t>4. OpenAI. Evaluation best practices. OpenAI API documentation. https://platform.openai.com/docs/guides/evals</w:t>
      </w:r>
    </w:p>
    <w:p>
      <w:pPr>
        <w:pStyle w:val="SmallText"/>
        <w:ind w:left="317" w:hanging="317"/>
      </w:pPr>
      <w:r>
        <w:t>5. OpenAI. Why language models hallucinate. 2025. https://openai.com/index/why-language-models-hallucinate/</w:t>
      </w:r>
    </w:p>
    <w:p>
      <w:pPr>
        <w:pStyle w:val="SmallText"/>
        <w:ind w:left="317" w:hanging="317"/>
      </w:pPr>
      <w:r>
        <w:t>6. Microsoft. Built in evaluation metrics for generative AI. Microsoft Learn. https://learn.microsoft.com/en-us/azure/ai-foundry/concepts/evaluation-metrics-built-in</w:t>
      </w:r>
    </w:p>
    <w:p>
      <w:pPr>
        <w:pStyle w:val="SmallText"/>
        <w:ind w:left="317" w:hanging="317"/>
      </w:pPr>
      <w:r>
        <w:t>7. Es S James J Espinosa Anke L Schockaert S. RAGAS Automated Evaluation of Retrieval Augmented Generation. EACL System Demonstrations. 2024. https://aclanthology.org/2024.eacl-demo.16/</w:t>
      </w:r>
    </w:p>
    <w:p>
      <w:pPr>
        <w:pStyle w:val="SmallText"/>
        <w:ind w:left="317" w:hanging="317"/>
      </w:pPr>
      <w:r>
        <w:t>8. Manakul P Liusie A Gales M. SelfCheckGPT Zero Resource Black Box Hallucination Detection for Generative Large Language Models. EMNLP. 2023. https://aclanthology.org/2023.emnlp-main.557/</w:t>
      </w:r>
    </w:p>
    <w:p>
      <w:pPr>
        <w:pStyle w:val="SmallText"/>
        <w:ind w:left="317" w:hanging="317"/>
      </w:pPr>
      <w:r>
        <w:t>9. Saad Falana B et al. ARES An Automated Evaluation Framework for Retrieval Augmented Generation Systems. NAACL. 2024. https://aclanthology.org/2024.naacl-long.20/</w:t>
      </w:r>
    </w:p>
    <w:p>
      <w:pPr>
        <w:pStyle w:val="SmallText"/>
        <w:ind w:left="317" w:hanging="317"/>
      </w:pPr>
      <w:r>
        <w:t>10. Menick J Trebacz M Mikulik V et al. Teaching Language Models to Support Answers with Verified Quotes. 2022. https://arxiv.org/abs/2203.11147</w:t>
      </w:r>
    </w:p>
    <w:p>
      <w:pPr>
        <w:pStyle w:val="SmallText"/>
        <w:ind w:left="317" w:hanging="317"/>
      </w:pPr>
      <w:r>
        <w:t>11. Zheng L Chiang W L Sheng Y et al. Judging LLM as a Judge with MT Bench and Chatbot Arena. NeurIPS Datasets and Benchmarks. 2023. https://arxiv.org/abs/2306.05685</w:t>
      </w:r>
    </w:p>
    <w:p>
      <w:pPr>
        <w:pStyle w:val="SmallText"/>
        <w:ind w:left="317" w:hanging="317"/>
      </w:pPr>
      <w:r>
        <w:t>12. OWASP GenAI Security Project. Top 10 for LLM and Generative AI Applications. https://genai.owasp.org/llm-top-10/</w:t>
      </w:r>
    </w:p>
    <w:p>
      <w:pPr>
        <w:pStyle w:val="SmallText"/>
      </w:pPr>
      <w:r>
        <w:t>Reference scope  These sources inform the risk, evaluation, grounding, citation, retrieval, and security principles in this toolkit. The templates and workflow are a practical synthesis and should be tailored to the organization and use case.</w:t>
      </w:r>
    </w:p>
    <w:sectPr w:rsidR="00FC693F" w:rsidRPr="0006063C" w:rsidSect="00034616">
      <w:headerReference w:type="default" r:id="rId9"/>
      <w:footerReference w:type="default" r:id="rId10"/>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E6A70"/>
        <w:sz w:val="16"/>
      </w:rPr>
      <w:t xml:space="preserve">TRACE AI Quality Toolkit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67D76"/>
        <w:sz w:val="15"/>
      </w:rPr>
      <w:t>NIKHILA GULAKARAM   ·   APPLIED AI QUALITY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027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40" w:after="160"/>
      <w:outlineLvl w:val="0"/>
    </w:pPr>
    <w:rPr>
      <w:rFonts w:asciiTheme="majorHAnsi" w:eastAsiaTheme="majorEastAsia" w:hAnsiTheme="majorHAnsi" w:cstheme="majorBidi" w:ascii="Aptos Display" w:hAnsi="Aptos Display"/>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Aptos Display" w:hAnsi="Aptos Display"/>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Text">
    <w:name w:val="Prompt Text"/>
    <w:pPr>
      <w:spacing w:after="80" w:line="252" w:lineRule="auto"/>
      <w:ind w:left="317" w:right="173"/>
    </w:pPr>
    <w:rPr>
      <w:rFonts w:ascii="Aptos Mono" w:hAnsi="Aptos Mono"/>
      <w:color w:val="162127"/>
      <w:sz w:val="17"/>
    </w:rPr>
  </w:style>
  <w:style w:type="paragraph" w:customStyle="1" w:styleId="SmallText">
    <w:name w:val="Small Text"/>
    <w:pPr>
      <w:spacing w:after="80"/>
    </w:pPr>
    <w:rPr>
      <w:rFonts w:ascii="Aptos" w:hAnsi="Aptos"/>
      <w:color w:val="5E6A7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TRACE RAG and Citation Verification Guide</dc:title>
  <dc:subject>Focused resource from the TRACE AI Response Quality Toolkit</dc:subject>
  <dc:creator>Nikhila Gulakaram</dc:creator>
  <cp:keywords>AI quality, LLM testing, prompt evaluation, RAG, citations, hallucinations, release testing</cp:keywords>
  <dc:description>Version 1.0</dc:description>
  <cp:lastModifiedBy/>
  <cp:revision>1</cp:revision>
  <dcterms:created xsi:type="dcterms:W3CDTF">2013-12-23T23:15:00Z</dcterms:created>
  <dcterms:modified xsi:type="dcterms:W3CDTF">2013-12-23T23:15:00Z</dcterms:modified>
  <cp:category/>
</cp:coreProperties>
</file>