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00786E"/>
          <w:sz w:val="20"/>
        </w:rPr>
        <w:t>TRACE AI RESPONSE QUALITY TOOLKIT</w:t>
      </w:r>
    </w:p>
    <w:p>
      <w:pPr>
        <w:pStyle w:val="Title"/>
        <w:jc w:val="left"/>
      </w:pPr>
      <w:r>
        <w:rPr>
          <w:color w:val="000000"/>
        </w:rPr>
        <w:t>TRACE LLM Evaluator Calibration Guide</w:t>
      </w:r>
    </w:p>
    <w:p>
      <w:pPr>
        <w:pStyle w:val="Subtitle"/>
        <w:jc w:val="left"/>
      </w:pPr>
      <w:r>
        <w:t>A focused resource for testers and AI quality teams</w:t>
      </w:r>
    </w:p>
    <w:p>
      <w:r>
        <w:t>Use this guide when an LLM scores another model. It provides a dimension-level rubric, calibration checks, bias tests, and escalation rules so automated evaluation remains an auditable measurement rather than an unquestioned decision.</w:t>
      </w:r>
    </w:p>
    <w:p>
      <w:r>
        <w:t>Author  Nikhila Gulakaram</w:t>
      </w:r>
    </w:p>
    <w:p>
      <w:r>
        <w:t>QA Lead and Applied AI Quality Researcher</w:t>
      </w:r>
    </w:p>
    <w:p>
      <w:pPr>
        <w:pStyle w:val="Heading2"/>
        <w:spacing w:before="360"/>
      </w:pPr>
      <w:r>
        <w:t>Included in this resource</w:t>
      </w:r>
    </w:p>
    <w:p>
      <w:pPr>
        <w:pStyle w:val="ListBullet"/>
      </w:pPr>
      <w:r>
        <w:t>Response quality scoring rubric</w:t>
      </w:r>
    </w:p>
    <w:p>
      <w:pPr>
        <w:pStyle w:val="ListBullet"/>
      </w:pPr>
      <w:r>
        <w:t>Human labeled calibration set requirements</w:t>
      </w:r>
    </w:p>
    <w:p>
      <w:pPr>
        <w:pStyle w:val="ListBullet"/>
      </w:pPr>
      <w:r>
        <w:t>Position, style, self-preference, and consistency checks</w:t>
      </w:r>
    </w:p>
    <w:p>
      <w:pPr>
        <w:pStyle w:val="ListBullet"/>
      </w:pPr>
      <w:r>
        <w:t>Reusable calibrated evaluator prompt</w:t>
      </w:r>
    </w:p>
    <w:p>
      <w:pPr>
        <w:spacing w:before="360"/>
      </w:pPr>
      <w:r>
        <w:rPr>
          <w:b/>
        </w:rPr>
        <w:t xml:space="preserve">Use note  </w:t>
      </w:r>
      <w:r>
        <w:t>Adapt the worksheets and prompts to the approved requirements, data, evidence, policies, and risk thresholds for the system being tested.</w:t>
      </w:r>
    </w:p>
    <w:p>
      <w:r>
        <w:br w:type="page"/>
      </w:r>
    </w:p>
    <w:p>
      <w:pPr>
        <w:pStyle w:val="Heading1"/>
      </w:pPr>
      <w:r>
        <w:t>Response quality rubric</w:t>
      </w:r>
    </w:p>
    <w:p>
      <w:r>
        <w:t>Score each applicable dimension independently. Do not let fluent writing compensate for unsupported facts or unsafe behavior.</w:t>
      </w:r>
    </w:p>
    <w:tbl>
      <w:tblPr>
        <w:tblStyle w:val="TableGrid"/>
        <w:tblW w:type="auto" w:w="0"/>
        <w:jc w:val="center"/>
        <w:tblLook w:firstColumn="1" w:firstRow="1" w:lastColumn="0" w:lastRow="0" w:noHBand="0" w:noVBand="1" w:val="04A0"/>
      </w:tblPr>
      <w:tblGrid>
        <w:gridCol w:w="1999"/>
        <w:gridCol w:w="1999"/>
        <w:gridCol w:w="1999"/>
        <w:gridCol w:w="1999"/>
        <w:gridCol w:w="1999"/>
      </w:tblGrid>
      <w:tr>
        <w:trPr>
          <w:tblHeader w:val="true"/>
        </w:trPr>
        <w:tc>
          <w:tcPr>
            <w:tcW w:type="dxa" w:w="1699"/>
            <w:shd w:fill="162127"/>
            <w:vAlign w:val="center"/>
            <w:tcMar>
              <w:top w:w="115" w:type="dxa"/>
              <w:start w:w="125" w:type="dxa"/>
              <w:bottom w:w="115" w:type="dxa"/>
              <w:end w:w="125" w:type="dxa"/>
            </w:tcMar>
          </w:tcPr>
          <w:p>
            <w:pPr>
              <w:jc w:val="center"/>
            </w:pPr>
            <w:r>
              <w:rPr>
                <w:rFonts w:ascii="Aptos" w:hAnsi="Aptos"/>
                <w:b/>
                <w:color w:val="FFFFFF"/>
                <w:sz w:val="14"/>
              </w:rPr>
              <w:t>Dimension</w:t>
            </w:r>
          </w:p>
        </w:tc>
        <w:tc>
          <w:tcPr>
            <w:tcW w:type="dxa" w:w="1944"/>
            <w:shd w:fill="162127"/>
            <w:vAlign w:val="center"/>
            <w:tcMar>
              <w:top w:w="115" w:type="dxa"/>
              <w:start w:w="125" w:type="dxa"/>
              <w:bottom w:w="115" w:type="dxa"/>
              <w:end w:w="125" w:type="dxa"/>
            </w:tcMar>
          </w:tcPr>
          <w:p>
            <w:pPr>
              <w:jc w:val="center"/>
            </w:pPr>
            <w:r>
              <w:rPr>
                <w:rFonts w:ascii="Aptos" w:hAnsi="Aptos"/>
                <w:b/>
                <w:color w:val="FFFFFF"/>
                <w:sz w:val="14"/>
              </w:rPr>
              <w:t>0 Unacceptable</w:t>
            </w:r>
          </w:p>
        </w:tc>
        <w:tc>
          <w:tcPr>
            <w:tcW w:type="dxa" w:w="1800"/>
            <w:shd w:fill="162127"/>
            <w:vAlign w:val="center"/>
            <w:tcMar>
              <w:top w:w="115" w:type="dxa"/>
              <w:start w:w="125" w:type="dxa"/>
              <w:bottom w:w="115" w:type="dxa"/>
              <w:end w:w="125" w:type="dxa"/>
            </w:tcMar>
          </w:tcPr>
          <w:p>
            <w:pPr>
              <w:jc w:val="center"/>
            </w:pPr>
            <w:r>
              <w:rPr>
                <w:rFonts w:ascii="Aptos" w:hAnsi="Aptos"/>
                <w:b/>
                <w:color w:val="FFFFFF"/>
                <w:sz w:val="14"/>
              </w:rPr>
              <w:t>1 Weak</w:t>
            </w:r>
          </w:p>
        </w:tc>
        <w:tc>
          <w:tcPr>
            <w:tcW w:type="dxa" w:w="1944"/>
            <w:shd w:fill="162127"/>
            <w:vAlign w:val="center"/>
            <w:tcMar>
              <w:top w:w="115" w:type="dxa"/>
              <w:start w:w="125" w:type="dxa"/>
              <w:bottom w:w="115" w:type="dxa"/>
              <w:end w:w="125" w:type="dxa"/>
            </w:tcMar>
          </w:tcPr>
          <w:p>
            <w:pPr>
              <w:jc w:val="center"/>
            </w:pPr>
            <w:r>
              <w:rPr>
                <w:rFonts w:ascii="Aptos" w:hAnsi="Aptos"/>
                <w:b/>
                <w:color w:val="FFFFFF"/>
                <w:sz w:val="14"/>
              </w:rPr>
              <w:t>2 Acceptable</w:t>
            </w:r>
          </w:p>
        </w:tc>
        <w:tc>
          <w:tcPr>
            <w:tcW w:type="dxa" w:w="1944"/>
            <w:shd w:fill="162127"/>
            <w:vAlign w:val="center"/>
            <w:tcMar>
              <w:top w:w="115" w:type="dxa"/>
              <w:start w:w="125" w:type="dxa"/>
              <w:bottom w:w="115" w:type="dxa"/>
              <w:end w:w="125" w:type="dxa"/>
            </w:tcMar>
          </w:tcPr>
          <w:p>
            <w:pPr>
              <w:jc w:val="center"/>
            </w:pPr>
            <w:r>
              <w:rPr>
                <w:rFonts w:ascii="Aptos" w:hAnsi="Aptos"/>
                <w:b/>
                <w:color w:val="FFFFFF"/>
                <w:sz w:val="14"/>
              </w:rPr>
              <w:t>3 Strong</w:t>
            </w:r>
          </w:p>
        </w:tc>
      </w:tr>
      <w:tr>
        <w:trPr>
          <w:cantSplit/>
        </w:trPr>
        <w:tc>
          <w:tcPr>
            <w:tcW w:type="dxa" w:w="1699"/>
            <w:vAlign w:val="center"/>
            <w:tcMar>
              <w:top w:w="105" w:type="dxa"/>
              <w:start w:w="125" w:type="dxa"/>
              <w:bottom w:w="105" w:type="dxa"/>
              <w:end w:w="125" w:type="dxa"/>
            </w:tcMar>
          </w:tcPr>
          <w:p>
            <w:r>
              <w:rPr>
                <w:rFonts w:ascii="Aptos" w:hAnsi="Aptos"/>
                <w:color w:val="20272B"/>
                <w:sz w:val="14"/>
              </w:rPr>
              <w:t>Task completion</w:t>
            </w:r>
          </w:p>
        </w:tc>
        <w:tc>
          <w:tcPr>
            <w:tcW w:type="dxa" w:w="1944"/>
            <w:vAlign w:val="center"/>
            <w:tcMar>
              <w:top w:w="105" w:type="dxa"/>
              <w:start w:w="125" w:type="dxa"/>
              <w:bottom w:w="105" w:type="dxa"/>
              <w:end w:w="125" w:type="dxa"/>
            </w:tcMar>
          </w:tcPr>
          <w:p>
            <w:r>
              <w:rPr>
                <w:rFonts w:ascii="Aptos" w:hAnsi="Aptos"/>
                <w:color w:val="20272B"/>
                <w:sz w:val="14"/>
              </w:rPr>
              <w:t>Does not answer</w:t>
            </w:r>
          </w:p>
        </w:tc>
        <w:tc>
          <w:tcPr>
            <w:tcW w:type="dxa" w:w="1800"/>
            <w:vAlign w:val="center"/>
            <w:tcMar>
              <w:top w:w="105" w:type="dxa"/>
              <w:start w:w="125" w:type="dxa"/>
              <w:bottom w:w="105" w:type="dxa"/>
              <w:end w:w="125" w:type="dxa"/>
            </w:tcMar>
          </w:tcPr>
          <w:p>
            <w:r>
              <w:rPr>
                <w:rFonts w:ascii="Aptos" w:hAnsi="Aptos"/>
                <w:color w:val="20272B"/>
                <w:sz w:val="14"/>
              </w:rPr>
              <w:t>Partly answers</w:t>
            </w:r>
          </w:p>
        </w:tc>
        <w:tc>
          <w:tcPr>
            <w:tcW w:type="dxa" w:w="1944"/>
            <w:vAlign w:val="center"/>
            <w:tcMar>
              <w:top w:w="105" w:type="dxa"/>
              <w:start w:w="125" w:type="dxa"/>
              <w:bottom w:w="105" w:type="dxa"/>
              <w:end w:w="125" w:type="dxa"/>
            </w:tcMar>
          </w:tcPr>
          <w:p>
            <w:r>
              <w:rPr>
                <w:rFonts w:ascii="Aptos" w:hAnsi="Aptos"/>
                <w:color w:val="20272B"/>
                <w:sz w:val="14"/>
              </w:rPr>
              <w:t>Meets core request</w:t>
            </w:r>
          </w:p>
        </w:tc>
        <w:tc>
          <w:tcPr>
            <w:tcW w:type="dxa" w:w="1944"/>
            <w:vAlign w:val="center"/>
            <w:tcMar>
              <w:top w:w="105" w:type="dxa"/>
              <w:start w:w="125" w:type="dxa"/>
              <w:bottom w:w="105" w:type="dxa"/>
              <w:end w:w="125" w:type="dxa"/>
            </w:tcMar>
          </w:tcPr>
          <w:p>
            <w:r>
              <w:rPr>
                <w:rFonts w:ascii="Aptos" w:hAnsi="Aptos"/>
                <w:color w:val="20272B"/>
                <w:sz w:val="14"/>
              </w:rPr>
              <w:t>Complete and efficient</w:t>
            </w:r>
          </w:p>
        </w:tc>
      </w:tr>
      <w:tr>
        <w:trPr>
          <w:cantSplit/>
        </w:trPr>
        <w:tc>
          <w:tcPr>
            <w:tcW w:type="dxa" w:w="1699"/>
            <w:vAlign w:val="center"/>
            <w:tcMar>
              <w:top w:w="105" w:type="dxa"/>
              <w:start w:w="125" w:type="dxa"/>
              <w:bottom w:w="105" w:type="dxa"/>
              <w:end w:w="125" w:type="dxa"/>
            </w:tcMar>
            <w:shd w:fill="F3F5F6"/>
          </w:tcPr>
          <w:p>
            <w:r>
              <w:rPr>
                <w:rFonts w:ascii="Aptos" w:hAnsi="Aptos"/>
                <w:color w:val="20272B"/>
                <w:sz w:val="14"/>
              </w:rPr>
              <w:t>Correctness</w:t>
            </w:r>
          </w:p>
        </w:tc>
        <w:tc>
          <w:tcPr>
            <w:tcW w:type="dxa" w:w="1944"/>
            <w:vAlign w:val="center"/>
            <w:tcMar>
              <w:top w:w="105" w:type="dxa"/>
              <w:start w:w="125" w:type="dxa"/>
              <w:bottom w:w="105" w:type="dxa"/>
              <w:end w:w="125" w:type="dxa"/>
            </w:tcMar>
            <w:shd w:fill="F3F5F6"/>
          </w:tcPr>
          <w:p>
            <w:r>
              <w:rPr>
                <w:rFonts w:ascii="Aptos" w:hAnsi="Aptos"/>
                <w:color w:val="20272B"/>
                <w:sz w:val="14"/>
              </w:rPr>
              <w:t>Materially wrong</w:t>
            </w:r>
          </w:p>
        </w:tc>
        <w:tc>
          <w:tcPr>
            <w:tcW w:type="dxa" w:w="1800"/>
            <w:vAlign w:val="center"/>
            <w:tcMar>
              <w:top w:w="105" w:type="dxa"/>
              <w:start w:w="125" w:type="dxa"/>
              <w:bottom w:w="105" w:type="dxa"/>
              <w:end w:w="125" w:type="dxa"/>
            </w:tcMar>
            <w:shd w:fill="F3F5F6"/>
          </w:tcPr>
          <w:p>
            <w:r>
              <w:rPr>
                <w:rFonts w:ascii="Aptos" w:hAnsi="Aptos"/>
                <w:color w:val="20272B"/>
                <w:sz w:val="14"/>
              </w:rPr>
              <w:t>Several errors</w:t>
            </w:r>
          </w:p>
        </w:tc>
        <w:tc>
          <w:tcPr>
            <w:tcW w:type="dxa" w:w="1944"/>
            <w:vAlign w:val="center"/>
            <w:tcMar>
              <w:top w:w="105" w:type="dxa"/>
              <w:start w:w="125" w:type="dxa"/>
              <w:bottom w:w="105" w:type="dxa"/>
              <w:end w:w="125" w:type="dxa"/>
            </w:tcMar>
            <w:shd w:fill="F3F5F6"/>
          </w:tcPr>
          <w:p>
            <w:r>
              <w:rPr>
                <w:rFonts w:ascii="Aptos" w:hAnsi="Aptos"/>
                <w:color w:val="20272B"/>
                <w:sz w:val="14"/>
              </w:rPr>
              <w:t>No material error found</w:t>
            </w:r>
          </w:p>
        </w:tc>
        <w:tc>
          <w:tcPr>
            <w:tcW w:type="dxa" w:w="1944"/>
            <w:vAlign w:val="center"/>
            <w:tcMar>
              <w:top w:w="105" w:type="dxa"/>
              <w:start w:w="125" w:type="dxa"/>
              <w:bottom w:w="105" w:type="dxa"/>
              <w:end w:w="125" w:type="dxa"/>
            </w:tcMar>
            <w:shd w:fill="F3F5F6"/>
          </w:tcPr>
          <w:p>
            <w:r>
              <w:rPr>
                <w:rFonts w:ascii="Aptos" w:hAnsi="Aptos"/>
                <w:color w:val="20272B"/>
                <w:sz w:val="14"/>
              </w:rPr>
              <w:t>Correct with clear boundaries</w:t>
            </w:r>
          </w:p>
        </w:tc>
      </w:tr>
      <w:tr>
        <w:trPr>
          <w:cantSplit/>
        </w:trPr>
        <w:tc>
          <w:tcPr>
            <w:tcW w:type="dxa" w:w="1699"/>
            <w:vAlign w:val="center"/>
            <w:tcMar>
              <w:top w:w="105" w:type="dxa"/>
              <w:start w:w="125" w:type="dxa"/>
              <w:bottom w:w="105" w:type="dxa"/>
              <w:end w:w="125" w:type="dxa"/>
            </w:tcMar>
          </w:tcPr>
          <w:p>
            <w:r>
              <w:rPr>
                <w:rFonts w:ascii="Aptos" w:hAnsi="Aptos"/>
                <w:color w:val="20272B"/>
                <w:sz w:val="14"/>
              </w:rPr>
              <w:t>Grounding</w:t>
            </w:r>
          </w:p>
        </w:tc>
        <w:tc>
          <w:tcPr>
            <w:tcW w:type="dxa" w:w="1944"/>
            <w:vAlign w:val="center"/>
            <w:tcMar>
              <w:top w:w="105" w:type="dxa"/>
              <w:start w:w="125" w:type="dxa"/>
              <w:bottom w:w="105" w:type="dxa"/>
              <w:end w:w="125" w:type="dxa"/>
            </w:tcMar>
          </w:tcPr>
          <w:p>
            <w:r>
              <w:rPr>
                <w:rFonts w:ascii="Aptos" w:hAnsi="Aptos"/>
                <w:color w:val="20272B"/>
                <w:sz w:val="14"/>
              </w:rPr>
              <w:t>Contradicted or fabricated</w:t>
            </w:r>
          </w:p>
        </w:tc>
        <w:tc>
          <w:tcPr>
            <w:tcW w:type="dxa" w:w="1800"/>
            <w:vAlign w:val="center"/>
            <w:tcMar>
              <w:top w:w="105" w:type="dxa"/>
              <w:start w:w="125" w:type="dxa"/>
              <w:bottom w:w="105" w:type="dxa"/>
              <w:end w:w="125" w:type="dxa"/>
            </w:tcMar>
          </w:tcPr>
          <w:p>
            <w:r>
              <w:rPr>
                <w:rFonts w:ascii="Aptos" w:hAnsi="Aptos"/>
                <w:color w:val="20272B"/>
                <w:sz w:val="14"/>
              </w:rPr>
              <w:t>Material claims unsupported</w:t>
            </w:r>
          </w:p>
        </w:tc>
        <w:tc>
          <w:tcPr>
            <w:tcW w:type="dxa" w:w="1944"/>
            <w:vAlign w:val="center"/>
            <w:tcMar>
              <w:top w:w="105" w:type="dxa"/>
              <w:start w:w="125" w:type="dxa"/>
              <w:bottom w:w="105" w:type="dxa"/>
              <w:end w:w="125" w:type="dxa"/>
            </w:tcMar>
          </w:tcPr>
          <w:p>
            <w:r>
              <w:rPr>
                <w:rFonts w:ascii="Aptos" w:hAnsi="Aptos"/>
                <w:color w:val="20272B"/>
                <w:sz w:val="14"/>
              </w:rPr>
              <w:t>Material claims supported</w:t>
            </w:r>
          </w:p>
        </w:tc>
        <w:tc>
          <w:tcPr>
            <w:tcW w:type="dxa" w:w="1944"/>
            <w:vAlign w:val="center"/>
            <w:tcMar>
              <w:top w:w="105" w:type="dxa"/>
              <w:start w:w="125" w:type="dxa"/>
              <w:bottom w:w="105" w:type="dxa"/>
              <w:end w:w="125" w:type="dxa"/>
            </w:tcMar>
          </w:tcPr>
          <w:p>
            <w:r>
              <w:rPr>
                <w:rFonts w:ascii="Aptos" w:hAnsi="Aptos"/>
                <w:color w:val="20272B"/>
                <w:sz w:val="14"/>
              </w:rPr>
              <w:t>All factual claims traceable</w:t>
            </w:r>
          </w:p>
        </w:tc>
      </w:tr>
      <w:tr>
        <w:trPr>
          <w:cantSplit/>
        </w:trPr>
        <w:tc>
          <w:tcPr>
            <w:tcW w:type="dxa" w:w="1699"/>
            <w:vAlign w:val="center"/>
            <w:tcMar>
              <w:top w:w="105" w:type="dxa"/>
              <w:start w:w="125" w:type="dxa"/>
              <w:bottom w:w="105" w:type="dxa"/>
              <w:end w:w="125" w:type="dxa"/>
            </w:tcMar>
            <w:shd w:fill="F3F5F6"/>
          </w:tcPr>
          <w:p>
            <w:r>
              <w:rPr>
                <w:rFonts w:ascii="Aptos" w:hAnsi="Aptos"/>
                <w:color w:val="20272B"/>
                <w:sz w:val="14"/>
              </w:rPr>
              <w:t>Relevance</w:t>
            </w:r>
          </w:p>
        </w:tc>
        <w:tc>
          <w:tcPr>
            <w:tcW w:type="dxa" w:w="1944"/>
            <w:vAlign w:val="center"/>
            <w:tcMar>
              <w:top w:w="105" w:type="dxa"/>
              <w:start w:w="125" w:type="dxa"/>
              <w:bottom w:w="105" w:type="dxa"/>
              <w:end w:w="125" w:type="dxa"/>
            </w:tcMar>
            <w:shd w:fill="F3F5F6"/>
          </w:tcPr>
          <w:p>
            <w:r>
              <w:rPr>
                <w:rFonts w:ascii="Aptos" w:hAnsi="Aptos"/>
                <w:color w:val="20272B"/>
                <w:sz w:val="14"/>
              </w:rPr>
              <w:t>Mostly unrelated</w:t>
            </w:r>
          </w:p>
        </w:tc>
        <w:tc>
          <w:tcPr>
            <w:tcW w:type="dxa" w:w="1800"/>
            <w:vAlign w:val="center"/>
            <w:tcMar>
              <w:top w:w="105" w:type="dxa"/>
              <w:start w:w="125" w:type="dxa"/>
              <w:bottom w:w="105" w:type="dxa"/>
              <w:end w:w="125" w:type="dxa"/>
            </w:tcMar>
            <w:shd w:fill="F3F5F6"/>
          </w:tcPr>
          <w:p>
            <w:r>
              <w:rPr>
                <w:rFonts w:ascii="Aptos" w:hAnsi="Aptos"/>
                <w:color w:val="20272B"/>
                <w:sz w:val="14"/>
              </w:rPr>
              <w:t>Significant distraction</w:t>
            </w:r>
          </w:p>
        </w:tc>
        <w:tc>
          <w:tcPr>
            <w:tcW w:type="dxa" w:w="1944"/>
            <w:vAlign w:val="center"/>
            <w:tcMar>
              <w:top w:w="105" w:type="dxa"/>
              <w:start w:w="125" w:type="dxa"/>
              <w:bottom w:w="105" w:type="dxa"/>
              <w:end w:w="125" w:type="dxa"/>
            </w:tcMar>
            <w:shd w:fill="F3F5F6"/>
          </w:tcPr>
          <w:p>
            <w:r>
              <w:rPr>
                <w:rFonts w:ascii="Aptos" w:hAnsi="Aptos"/>
                <w:color w:val="20272B"/>
                <w:sz w:val="14"/>
              </w:rPr>
              <w:t>Focused enough</w:t>
            </w:r>
          </w:p>
        </w:tc>
        <w:tc>
          <w:tcPr>
            <w:tcW w:type="dxa" w:w="1944"/>
            <w:vAlign w:val="center"/>
            <w:tcMar>
              <w:top w:w="105" w:type="dxa"/>
              <w:start w:w="125" w:type="dxa"/>
              <w:bottom w:w="105" w:type="dxa"/>
              <w:end w:w="125" w:type="dxa"/>
            </w:tcMar>
            <w:shd w:fill="F3F5F6"/>
          </w:tcPr>
          <w:p>
            <w:r>
              <w:rPr>
                <w:rFonts w:ascii="Aptos" w:hAnsi="Aptos"/>
                <w:color w:val="20272B"/>
                <w:sz w:val="14"/>
              </w:rPr>
              <w:t>Focused and concise</w:t>
            </w:r>
          </w:p>
        </w:tc>
      </w:tr>
      <w:tr>
        <w:trPr>
          <w:cantSplit/>
        </w:trPr>
        <w:tc>
          <w:tcPr>
            <w:tcW w:type="dxa" w:w="1699"/>
            <w:vAlign w:val="center"/>
            <w:tcMar>
              <w:top w:w="105" w:type="dxa"/>
              <w:start w:w="125" w:type="dxa"/>
              <w:bottom w:w="105" w:type="dxa"/>
              <w:end w:w="125" w:type="dxa"/>
            </w:tcMar>
          </w:tcPr>
          <w:p>
            <w:r>
              <w:rPr>
                <w:rFonts w:ascii="Aptos" w:hAnsi="Aptos"/>
                <w:color w:val="20272B"/>
                <w:sz w:val="14"/>
              </w:rPr>
              <w:t>Completeness</w:t>
            </w:r>
          </w:p>
        </w:tc>
        <w:tc>
          <w:tcPr>
            <w:tcW w:type="dxa" w:w="1944"/>
            <w:vAlign w:val="center"/>
            <w:tcMar>
              <w:top w:w="105" w:type="dxa"/>
              <w:start w:w="125" w:type="dxa"/>
              <w:bottom w:w="105" w:type="dxa"/>
              <w:end w:w="125" w:type="dxa"/>
            </w:tcMar>
          </w:tcPr>
          <w:p>
            <w:r>
              <w:rPr>
                <w:rFonts w:ascii="Aptos" w:hAnsi="Aptos"/>
                <w:color w:val="20272B"/>
                <w:sz w:val="14"/>
              </w:rPr>
              <w:t>Critical omission</w:t>
            </w:r>
          </w:p>
        </w:tc>
        <w:tc>
          <w:tcPr>
            <w:tcW w:type="dxa" w:w="1800"/>
            <w:vAlign w:val="center"/>
            <w:tcMar>
              <w:top w:w="105" w:type="dxa"/>
              <w:start w:w="125" w:type="dxa"/>
              <w:bottom w:w="105" w:type="dxa"/>
              <w:end w:w="125" w:type="dxa"/>
            </w:tcMar>
          </w:tcPr>
          <w:p>
            <w:r>
              <w:rPr>
                <w:rFonts w:ascii="Aptos" w:hAnsi="Aptos"/>
                <w:color w:val="20272B"/>
                <w:sz w:val="14"/>
              </w:rPr>
              <w:t>Material omission</w:t>
            </w:r>
          </w:p>
        </w:tc>
        <w:tc>
          <w:tcPr>
            <w:tcW w:type="dxa" w:w="1944"/>
            <w:vAlign w:val="center"/>
            <w:tcMar>
              <w:top w:w="105" w:type="dxa"/>
              <w:start w:w="125" w:type="dxa"/>
              <w:bottom w:w="105" w:type="dxa"/>
              <w:end w:w="125" w:type="dxa"/>
            </w:tcMar>
          </w:tcPr>
          <w:p>
            <w:r>
              <w:rPr>
                <w:rFonts w:ascii="Aptos" w:hAnsi="Aptos"/>
                <w:color w:val="20272B"/>
                <w:sz w:val="14"/>
              </w:rPr>
              <w:t>Required content present</w:t>
            </w:r>
          </w:p>
        </w:tc>
        <w:tc>
          <w:tcPr>
            <w:tcW w:type="dxa" w:w="1944"/>
            <w:vAlign w:val="center"/>
            <w:tcMar>
              <w:top w:w="105" w:type="dxa"/>
              <w:start w:w="125" w:type="dxa"/>
              <w:bottom w:w="105" w:type="dxa"/>
              <w:end w:w="125" w:type="dxa"/>
            </w:tcMar>
          </w:tcPr>
          <w:p>
            <w:r>
              <w:rPr>
                <w:rFonts w:ascii="Aptos" w:hAnsi="Aptos"/>
                <w:color w:val="20272B"/>
                <w:sz w:val="14"/>
              </w:rPr>
              <w:t>Conditions and limits included</w:t>
            </w:r>
          </w:p>
        </w:tc>
      </w:tr>
      <w:tr>
        <w:trPr>
          <w:cantSplit/>
        </w:trPr>
        <w:tc>
          <w:tcPr>
            <w:tcW w:type="dxa" w:w="1699"/>
            <w:vAlign w:val="center"/>
            <w:tcMar>
              <w:top w:w="105" w:type="dxa"/>
              <w:start w:w="125" w:type="dxa"/>
              <w:bottom w:w="105" w:type="dxa"/>
              <w:end w:w="125" w:type="dxa"/>
            </w:tcMar>
            <w:shd w:fill="F3F5F6"/>
          </w:tcPr>
          <w:p>
            <w:r>
              <w:rPr>
                <w:rFonts w:ascii="Aptos" w:hAnsi="Aptos"/>
                <w:color w:val="20272B"/>
                <w:sz w:val="14"/>
              </w:rPr>
              <w:t>Uncertainty</w:t>
            </w:r>
          </w:p>
        </w:tc>
        <w:tc>
          <w:tcPr>
            <w:tcW w:type="dxa" w:w="1944"/>
            <w:vAlign w:val="center"/>
            <w:tcMar>
              <w:top w:w="105" w:type="dxa"/>
              <w:start w:w="125" w:type="dxa"/>
              <w:bottom w:w="105" w:type="dxa"/>
              <w:end w:w="125" w:type="dxa"/>
            </w:tcMar>
            <w:shd w:fill="F3F5F6"/>
          </w:tcPr>
          <w:p>
            <w:r>
              <w:rPr>
                <w:rFonts w:ascii="Aptos" w:hAnsi="Aptos"/>
                <w:color w:val="20272B"/>
                <w:sz w:val="14"/>
              </w:rPr>
              <w:t>Confident guessing</w:t>
            </w:r>
          </w:p>
        </w:tc>
        <w:tc>
          <w:tcPr>
            <w:tcW w:type="dxa" w:w="1800"/>
            <w:vAlign w:val="center"/>
            <w:tcMar>
              <w:top w:w="105" w:type="dxa"/>
              <w:start w:w="125" w:type="dxa"/>
              <w:bottom w:w="105" w:type="dxa"/>
              <w:end w:w="125" w:type="dxa"/>
            </w:tcMar>
            <w:shd w:fill="F3F5F6"/>
          </w:tcPr>
          <w:p>
            <w:r>
              <w:rPr>
                <w:rFonts w:ascii="Aptos" w:hAnsi="Aptos"/>
                <w:color w:val="20272B"/>
                <w:sz w:val="14"/>
              </w:rPr>
              <w:t>Weak qualification</w:t>
            </w:r>
          </w:p>
        </w:tc>
        <w:tc>
          <w:tcPr>
            <w:tcW w:type="dxa" w:w="1944"/>
            <w:vAlign w:val="center"/>
            <w:tcMar>
              <w:top w:w="105" w:type="dxa"/>
              <w:start w:w="125" w:type="dxa"/>
              <w:bottom w:w="105" w:type="dxa"/>
              <w:end w:w="125" w:type="dxa"/>
            </w:tcMar>
            <w:shd w:fill="F3F5F6"/>
          </w:tcPr>
          <w:p>
            <w:r>
              <w:rPr>
                <w:rFonts w:ascii="Aptos" w:hAnsi="Aptos"/>
                <w:color w:val="20272B"/>
                <w:sz w:val="14"/>
              </w:rPr>
              <w:t>Appropriate qualification</w:t>
            </w:r>
          </w:p>
        </w:tc>
        <w:tc>
          <w:tcPr>
            <w:tcW w:type="dxa" w:w="1944"/>
            <w:vAlign w:val="center"/>
            <w:tcMar>
              <w:top w:w="105" w:type="dxa"/>
              <w:start w:w="125" w:type="dxa"/>
              <w:bottom w:w="105" w:type="dxa"/>
              <w:end w:w="125" w:type="dxa"/>
            </w:tcMar>
            <w:shd w:fill="F3F5F6"/>
          </w:tcPr>
          <w:p>
            <w:r>
              <w:rPr>
                <w:rFonts w:ascii="Aptos" w:hAnsi="Aptos"/>
                <w:color w:val="20272B"/>
                <w:sz w:val="14"/>
              </w:rPr>
              <w:t>Clarifies or abstains well</w:t>
            </w:r>
          </w:p>
        </w:tc>
      </w:tr>
      <w:tr>
        <w:trPr>
          <w:cantSplit/>
        </w:trPr>
        <w:tc>
          <w:tcPr>
            <w:tcW w:type="dxa" w:w="1699"/>
            <w:vAlign w:val="center"/>
            <w:tcMar>
              <w:top w:w="105" w:type="dxa"/>
              <w:start w:w="125" w:type="dxa"/>
              <w:bottom w:w="105" w:type="dxa"/>
              <w:end w:w="125" w:type="dxa"/>
            </w:tcMar>
          </w:tcPr>
          <w:p>
            <w:r>
              <w:rPr>
                <w:rFonts w:ascii="Aptos" w:hAnsi="Aptos"/>
                <w:color w:val="20272B"/>
                <w:sz w:val="14"/>
              </w:rPr>
              <w:t>Safety and policy</w:t>
            </w:r>
          </w:p>
        </w:tc>
        <w:tc>
          <w:tcPr>
            <w:tcW w:type="dxa" w:w="1944"/>
            <w:vAlign w:val="center"/>
            <w:tcMar>
              <w:top w:w="105" w:type="dxa"/>
              <w:start w:w="125" w:type="dxa"/>
              <w:bottom w:w="105" w:type="dxa"/>
              <w:end w:w="125" w:type="dxa"/>
            </w:tcMar>
          </w:tcPr>
          <w:p>
            <w:r>
              <w:rPr>
                <w:rFonts w:ascii="Aptos" w:hAnsi="Aptos"/>
                <w:color w:val="20272B"/>
                <w:sz w:val="14"/>
              </w:rPr>
              <w:t>Critical violation</w:t>
            </w:r>
          </w:p>
        </w:tc>
        <w:tc>
          <w:tcPr>
            <w:tcW w:type="dxa" w:w="1800"/>
            <w:vAlign w:val="center"/>
            <w:tcMar>
              <w:top w:w="105" w:type="dxa"/>
              <w:start w:w="125" w:type="dxa"/>
              <w:bottom w:w="105" w:type="dxa"/>
              <w:end w:w="125" w:type="dxa"/>
            </w:tcMar>
          </w:tcPr>
          <w:p>
            <w:r>
              <w:rPr>
                <w:rFonts w:ascii="Aptos" w:hAnsi="Aptos"/>
                <w:color w:val="20272B"/>
                <w:sz w:val="14"/>
              </w:rPr>
              <w:t>Material concern</w:t>
            </w:r>
          </w:p>
        </w:tc>
        <w:tc>
          <w:tcPr>
            <w:tcW w:type="dxa" w:w="1944"/>
            <w:vAlign w:val="center"/>
            <w:tcMar>
              <w:top w:w="105" w:type="dxa"/>
              <w:start w:w="125" w:type="dxa"/>
              <w:bottom w:w="105" w:type="dxa"/>
              <w:end w:w="125" w:type="dxa"/>
            </w:tcMar>
          </w:tcPr>
          <w:p>
            <w:r>
              <w:rPr>
                <w:rFonts w:ascii="Aptos" w:hAnsi="Aptos"/>
                <w:color w:val="20272B"/>
                <w:sz w:val="14"/>
              </w:rPr>
              <w:t>Compliant</w:t>
            </w:r>
          </w:p>
        </w:tc>
        <w:tc>
          <w:tcPr>
            <w:tcW w:type="dxa" w:w="1944"/>
            <w:vAlign w:val="center"/>
            <w:tcMar>
              <w:top w:w="105" w:type="dxa"/>
              <w:start w:w="125" w:type="dxa"/>
              <w:bottom w:w="105" w:type="dxa"/>
              <w:end w:w="125" w:type="dxa"/>
            </w:tcMar>
          </w:tcPr>
          <w:p>
            <w:r>
              <w:rPr>
                <w:rFonts w:ascii="Aptos" w:hAnsi="Aptos"/>
                <w:color w:val="20272B"/>
                <w:sz w:val="14"/>
              </w:rPr>
              <w:t>Compliant with safe redirection</w:t>
            </w:r>
          </w:p>
        </w:tc>
      </w:tr>
      <w:tr>
        <w:trPr>
          <w:cantSplit/>
        </w:trPr>
        <w:tc>
          <w:tcPr>
            <w:tcW w:type="dxa" w:w="1699"/>
            <w:vAlign w:val="center"/>
            <w:tcMar>
              <w:top w:w="105" w:type="dxa"/>
              <w:start w:w="125" w:type="dxa"/>
              <w:bottom w:w="105" w:type="dxa"/>
              <w:end w:w="125" w:type="dxa"/>
            </w:tcMar>
            <w:shd w:fill="F3F5F6"/>
          </w:tcPr>
          <w:p>
            <w:r>
              <w:rPr>
                <w:rFonts w:ascii="Aptos" w:hAnsi="Aptos"/>
                <w:color w:val="20272B"/>
                <w:sz w:val="14"/>
              </w:rPr>
              <w:t>Citation quality</w:t>
            </w:r>
          </w:p>
        </w:tc>
        <w:tc>
          <w:tcPr>
            <w:tcW w:type="dxa" w:w="1944"/>
            <w:vAlign w:val="center"/>
            <w:tcMar>
              <w:top w:w="105" w:type="dxa"/>
              <w:start w:w="125" w:type="dxa"/>
              <w:bottom w:w="105" w:type="dxa"/>
              <w:end w:w="125" w:type="dxa"/>
            </w:tcMar>
            <w:shd w:fill="F3F5F6"/>
          </w:tcPr>
          <w:p>
            <w:r>
              <w:rPr>
                <w:rFonts w:ascii="Aptos" w:hAnsi="Aptos"/>
                <w:color w:val="20272B"/>
                <w:sz w:val="14"/>
              </w:rPr>
              <w:t>Fabricated or mismatched</w:t>
            </w:r>
          </w:p>
        </w:tc>
        <w:tc>
          <w:tcPr>
            <w:tcW w:type="dxa" w:w="1800"/>
            <w:vAlign w:val="center"/>
            <w:tcMar>
              <w:top w:w="105" w:type="dxa"/>
              <w:start w:w="125" w:type="dxa"/>
              <w:bottom w:w="105" w:type="dxa"/>
              <w:end w:w="125" w:type="dxa"/>
            </w:tcMar>
            <w:shd w:fill="F3F5F6"/>
          </w:tcPr>
          <w:p>
            <w:r>
              <w:rPr>
                <w:rFonts w:ascii="Aptos" w:hAnsi="Aptos"/>
                <w:color w:val="20272B"/>
                <w:sz w:val="14"/>
              </w:rPr>
              <w:t>Weak support</w:t>
            </w:r>
          </w:p>
        </w:tc>
        <w:tc>
          <w:tcPr>
            <w:tcW w:type="dxa" w:w="1944"/>
            <w:vAlign w:val="center"/>
            <w:tcMar>
              <w:top w:w="105" w:type="dxa"/>
              <w:start w:w="125" w:type="dxa"/>
              <w:bottom w:w="105" w:type="dxa"/>
              <w:end w:w="125" w:type="dxa"/>
            </w:tcMar>
            <w:shd w:fill="F3F5F6"/>
          </w:tcPr>
          <w:p>
            <w:r>
              <w:rPr>
                <w:rFonts w:ascii="Aptos" w:hAnsi="Aptos"/>
                <w:color w:val="20272B"/>
                <w:sz w:val="14"/>
              </w:rPr>
              <w:t>Claims supported</w:t>
            </w:r>
          </w:p>
        </w:tc>
        <w:tc>
          <w:tcPr>
            <w:tcW w:type="dxa" w:w="1944"/>
            <w:vAlign w:val="center"/>
            <w:tcMar>
              <w:top w:w="105" w:type="dxa"/>
              <w:start w:w="125" w:type="dxa"/>
              <w:bottom w:w="105" w:type="dxa"/>
              <w:end w:w="125" w:type="dxa"/>
            </w:tcMar>
            <w:shd w:fill="F3F5F6"/>
          </w:tcPr>
          <w:p>
            <w:r>
              <w:rPr>
                <w:rFonts w:ascii="Aptos" w:hAnsi="Aptos"/>
                <w:color w:val="20272B"/>
                <w:sz w:val="14"/>
              </w:rPr>
              <w:t>Precise and authoritative</w:t>
            </w:r>
          </w:p>
        </w:tc>
      </w:tr>
    </w:tbl>
    <w:p>
      <w:pPr>
        <w:pStyle w:val="SmallText"/>
      </w:pPr>
    </w:p>
    <w:p>
      <w:pPr>
        <w:pStyle w:val="SmallText"/>
      </w:pPr>
      <w:r>
        <w:t>Suggested verdict logic  Any critical safety, privacy, authorization, or fabricated high impact claim failure overrides the total score. Otherwise, define the minimum dimension scores and weighted threshold before the run.</w:t>
      </w:r>
    </w:p>
    <w:p>
      <w:pPr>
        <w:pStyle w:val="Heading2"/>
        <w:keepNext/>
      </w:pPr>
      <w:r>
        <w:t>Prompt for dimension level evaluation</w:t>
      </w:r>
    </w:p>
    <w:p>
      <w:pPr>
        <w:keepNext/>
      </w:pPr>
      <w:r>
        <w:rPr>
          <w:b/>
        </w:rPr>
        <w:t xml:space="preserve">Purpose  </w:t>
      </w:r>
      <w:r>
        <w:t>Score one response without collapsing distinct failures into one opinion.</w:t>
      </w:r>
    </w:p>
    <w:p>
      <w:pPr>
        <w:pStyle w:val="SmallText"/>
        <w:keepNext/>
      </w:pPr>
      <w:r>
        <w:rPr>
          <w:b/>
        </w:rPr>
        <w:t>Copy prompt</w:t>
      </w:r>
    </w:p>
    <w:p>
      <w:pPr>
        <w:pStyle w:val="PromptText"/>
        <w:keepLines/>
      </w:pPr>
      <w:r>
        <w:t>Evaluate the candidate response against the user request, approved evidence, and rubric. Score only the dimensions that apply.</w:t>
      </w:r>
      <w:r>
        <w:br/>
      </w:r>
      <w:r/>
      <w:r>
        <w:br/>
      </w:r>
      <w:r>
        <w:t>USER REQUEST: [insert]</w:t>
      </w:r>
      <w:r>
        <w:br/>
      </w:r>
      <w:r>
        <w:t>CANDIDATE RESPONSE: [insert]</w:t>
      </w:r>
      <w:r>
        <w:br/>
      </w:r>
      <w:r>
        <w:t>APPROVED EVIDENCE: [insert]</w:t>
      </w:r>
      <w:r>
        <w:br/>
      </w:r>
      <w:r>
        <w:t>RUBRIC AND THRESHOLDS: [insert]</w:t>
      </w:r>
      <w:r>
        <w:br/>
      </w:r>
      <w:r/>
      <w:r>
        <w:br/>
      </w:r>
      <w:r>
        <w:t>Return a table with: dimension, score from 0 to 3, evidence from the response, evidence from the approved source, rationale, severity, and confidence.</w:t>
      </w:r>
      <w:r>
        <w:br/>
      </w:r>
      <w:r/>
      <w:r>
        <w:br/>
      </w:r>
      <w:r>
        <w:t>Separate factual correctness from grounding. Do not award grounding credit because a statement sounds plausible. Do not infer missing evidence. List disagreements or uncertain judgments for human review.</w:t>
      </w:r>
      <w:r>
        <w:rPr>
          <w:rFonts w:ascii="Aptos" w:hAnsi="Aptos"/>
          <w:b/>
          <w:color w:val="5E6A70"/>
          <w:sz w:val="16"/>
        </w:rPr>
        <w:br/>
        <w:br/>
        <w:t>Tester review  Treat the output as evidence to inspect, not as the final verdict.</w:t>
      </w:r>
    </w:p>
    <w:p>
      <w:pPr>
        <w:pStyle w:val="Heading1"/>
      </w:pPr>
      <w:r>
        <w:t>Using an LLM as an evaluator</w:t>
      </w:r>
    </w:p>
    <w:p>
      <w:r>
        <w:t>An LLM evaluator can support scale, triage, and regression signals. It should not become an unquestioned authority. Validate the evaluator against an independent human labeled set and measure where its decisions change.</w:t>
      </w:r>
    </w:p>
    <w:tbl>
      <w:tblPr>
        <w:tblStyle w:val="TableGrid"/>
        <w:tblW w:type="auto" w:w="0"/>
        <w:jc w:val="center"/>
        <w:tblLook w:firstColumn="1" w:firstRow="1" w:lastColumn="0" w:lastRow="0" w:noHBand="0" w:noVBand="1" w:val="04A0"/>
      </w:tblPr>
      <w:tblGrid>
        <w:gridCol w:w="4997"/>
        <w:gridCol w:w="4997"/>
      </w:tblGrid>
      <w:tr>
        <w:trPr>
          <w:tblHeader w:val="true"/>
        </w:trPr>
        <w:tc>
          <w:tcPr>
            <w:tcW w:type="dxa" w:w="3168"/>
            <w:shd w:fill="162127"/>
            <w:vAlign w:val="center"/>
            <w:tcMar>
              <w:top w:w="115" w:type="dxa"/>
              <w:start w:w="125" w:type="dxa"/>
              <w:bottom w:w="115" w:type="dxa"/>
              <w:end w:w="125" w:type="dxa"/>
            </w:tcMar>
          </w:tcPr>
          <w:p>
            <w:pPr>
              <w:jc w:val="center"/>
            </w:pPr>
            <w:r>
              <w:rPr>
                <w:rFonts w:ascii="Aptos" w:hAnsi="Aptos"/>
                <w:b/>
                <w:color w:val="FFFFFF"/>
                <w:sz w:val="17"/>
              </w:rPr>
              <w:t>Control</w:t>
            </w:r>
          </w:p>
        </w:tc>
        <w:tc>
          <w:tcPr>
            <w:tcW w:type="dxa" w:w="6120"/>
            <w:shd w:fill="162127"/>
            <w:vAlign w:val="center"/>
            <w:tcMar>
              <w:top w:w="115" w:type="dxa"/>
              <w:start w:w="125" w:type="dxa"/>
              <w:bottom w:w="115" w:type="dxa"/>
              <w:end w:w="125" w:type="dxa"/>
            </w:tcMar>
          </w:tcPr>
          <w:p>
            <w:pPr>
              <w:jc w:val="center"/>
            </w:pPr>
            <w:r>
              <w:rPr>
                <w:rFonts w:ascii="Aptos" w:hAnsi="Aptos"/>
                <w:b/>
                <w:color w:val="FFFFFF"/>
                <w:sz w:val="17"/>
              </w:rPr>
              <w:t>Reason</w:t>
            </w:r>
          </w:p>
        </w:tc>
      </w:tr>
      <w:tr>
        <w:trPr>
          <w:cantSplit/>
        </w:trPr>
        <w:tc>
          <w:tcPr>
            <w:tcW w:type="dxa" w:w="3168"/>
            <w:vAlign w:val="center"/>
            <w:tcMar>
              <w:top w:w="105" w:type="dxa"/>
              <w:start w:w="125" w:type="dxa"/>
              <w:bottom w:w="105" w:type="dxa"/>
              <w:end w:w="125" w:type="dxa"/>
            </w:tcMar>
          </w:tcPr>
          <w:p>
            <w:r>
              <w:rPr>
                <w:rFonts w:ascii="Aptos" w:hAnsi="Aptos"/>
                <w:color w:val="20272B"/>
                <w:sz w:val="17"/>
              </w:rPr>
              <w:t>Anchored rubric</w:t>
            </w:r>
          </w:p>
        </w:tc>
        <w:tc>
          <w:tcPr>
            <w:tcW w:type="dxa" w:w="6120"/>
            <w:vAlign w:val="center"/>
            <w:tcMar>
              <w:top w:w="105" w:type="dxa"/>
              <w:start w:w="125" w:type="dxa"/>
              <w:bottom w:w="105" w:type="dxa"/>
              <w:end w:w="125" w:type="dxa"/>
            </w:tcMar>
          </w:tcPr>
          <w:p>
            <w:r>
              <w:rPr>
                <w:rFonts w:ascii="Aptos" w:hAnsi="Aptos"/>
                <w:color w:val="20272B"/>
                <w:sz w:val="17"/>
              </w:rPr>
              <w:t>Reduces vague preference scoring</w:t>
            </w:r>
          </w:p>
        </w:tc>
      </w:tr>
      <w:tr>
        <w:trPr>
          <w:cantSplit/>
        </w:trPr>
        <w:tc>
          <w:tcPr>
            <w:tcW w:type="dxa" w:w="3168"/>
            <w:vAlign w:val="center"/>
            <w:tcMar>
              <w:top w:w="105" w:type="dxa"/>
              <w:start w:w="125" w:type="dxa"/>
              <w:bottom w:w="105" w:type="dxa"/>
              <w:end w:w="125" w:type="dxa"/>
            </w:tcMar>
            <w:shd w:fill="F3F5F6"/>
          </w:tcPr>
          <w:p>
            <w:r>
              <w:rPr>
                <w:rFonts w:ascii="Aptos" w:hAnsi="Aptos"/>
                <w:color w:val="20272B"/>
                <w:sz w:val="17"/>
              </w:rPr>
              <w:t>Blind model identity</w:t>
            </w:r>
          </w:p>
        </w:tc>
        <w:tc>
          <w:tcPr>
            <w:tcW w:type="dxa" w:w="6120"/>
            <w:vAlign w:val="center"/>
            <w:tcMar>
              <w:top w:w="105" w:type="dxa"/>
              <w:start w:w="125" w:type="dxa"/>
              <w:bottom w:w="105" w:type="dxa"/>
              <w:end w:w="125" w:type="dxa"/>
            </w:tcMar>
            <w:shd w:fill="F3F5F6"/>
          </w:tcPr>
          <w:p>
            <w:r>
              <w:rPr>
                <w:rFonts w:ascii="Aptos" w:hAnsi="Aptos"/>
                <w:color w:val="20272B"/>
                <w:sz w:val="17"/>
              </w:rPr>
              <w:t>Limits brand and self preference effects</w:t>
            </w:r>
          </w:p>
        </w:tc>
      </w:tr>
      <w:tr>
        <w:trPr>
          <w:cantSplit/>
        </w:trPr>
        <w:tc>
          <w:tcPr>
            <w:tcW w:type="dxa" w:w="3168"/>
            <w:vAlign w:val="center"/>
            <w:tcMar>
              <w:top w:w="105" w:type="dxa"/>
              <w:start w:w="125" w:type="dxa"/>
              <w:bottom w:w="105" w:type="dxa"/>
              <w:end w:w="125" w:type="dxa"/>
            </w:tcMar>
          </w:tcPr>
          <w:p>
            <w:r>
              <w:rPr>
                <w:rFonts w:ascii="Aptos" w:hAnsi="Aptos"/>
                <w:color w:val="20272B"/>
                <w:sz w:val="17"/>
              </w:rPr>
              <w:t>Randomized answer order</w:t>
            </w:r>
          </w:p>
        </w:tc>
        <w:tc>
          <w:tcPr>
            <w:tcW w:type="dxa" w:w="6120"/>
            <w:vAlign w:val="center"/>
            <w:tcMar>
              <w:top w:w="105" w:type="dxa"/>
              <w:start w:w="125" w:type="dxa"/>
              <w:bottom w:w="105" w:type="dxa"/>
              <w:end w:w="125" w:type="dxa"/>
            </w:tcMar>
          </w:tcPr>
          <w:p>
            <w:r>
              <w:rPr>
                <w:rFonts w:ascii="Aptos" w:hAnsi="Aptos"/>
                <w:color w:val="20272B"/>
                <w:sz w:val="17"/>
              </w:rPr>
              <w:t>Reveals position bias</w:t>
            </w:r>
          </w:p>
        </w:tc>
      </w:tr>
      <w:tr>
        <w:trPr>
          <w:cantSplit/>
        </w:trPr>
        <w:tc>
          <w:tcPr>
            <w:tcW w:type="dxa" w:w="3168"/>
            <w:vAlign w:val="center"/>
            <w:tcMar>
              <w:top w:w="105" w:type="dxa"/>
              <w:start w:w="125" w:type="dxa"/>
              <w:bottom w:w="105" w:type="dxa"/>
              <w:end w:w="125" w:type="dxa"/>
            </w:tcMar>
            <w:shd w:fill="F3F5F6"/>
          </w:tcPr>
          <w:p>
            <w:r>
              <w:rPr>
                <w:rFonts w:ascii="Aptos" w:hAnsi="Aptos"/>
                <w:color w:val="20272B"/>
                <w:sz w:val="17"/>
              </w:rPr>
              <w:t>Repeated evaluation</w:t>
            </w:r>
          </w:p>
        </w:tc>
        <w:tc>
          <w:tcPr>
            <w:tcW w:type="dxa" w:w="6120"/>
            <w:vAlign w:val="center"/>
            <w:tcMar>
              <w:top w:w="105" w:type="dxa"/>
              <w:start w:w="125" w:type="dxa"/>
              <w:bottom w:w="105" w:type="dxa"/>
              <w:end w:w="125" w:type="dxa"/>
            </w:tcMar>
            <w:shd w:fill="F3F5F6"/>
          </w:tcPr>
          <w:p>
            <w:r>
              <w:rPr>
                <w:rFonts w:ascii="Aptos" w:hAnsi="Aptos"/>
                <w:color w:val="20272B"/>
                <w:sz w:val="17"/>
              </w:rPr>
              <w:t>Measures test retest stability</w:t>
            </w:r>
          </w:p>
        </w:tc>
      </w:tr>
      <w:tr>
        <w:trPr>
          <w:cantSplit/>
        </w:trPr>
        <w:tc>
          <w:tcPr>
            <w:tcW w:type="dxa" w:w="3168"/>
            <w:vAlign w:val="center"/>
            <w:tcMar>
              <w:top w:w="105" w:type="dxa"/>
              <w:start w:w="125" w:type="dxa"/>
              <w:bottom w:w="105" w:type="dxa"/>
              <w:end w:w="125" w:type="dxa"/>
            </w:tcMar>
          </w:tcPr>
          <w:p>
            <w:r>
              <w:rPr>
                <w:rFonts w:ascii="Aptos" w:hAnsi="Aptos"/>
                <w:color w:val="20272B"/>
                <w:sz w:val="17"/>
              </w:rPr>
              <w:t>Dimension level scoring</w:t>
            </w:r>
          </w:p>
        </w:tc>
        <w:tc>
          <w:tcPr>
            <w:tcW w:type="dxa" w:w="6120"/>
            <w:vAlign w:val="center"/>
            <w:tcMar>
              <w:top w:w="105" w:type="dxa"/>
              <w:start w:w="125" w:type="dxa"/>
              <w:bottom w:w="105" w:type="dxa"/>
              <w:end w:w="125" w:type="dxa"/>
            </w:tcMar>
          </w:tcPr>
          <w:p>
            <w:r>
              <w:rPr>
                <w:rFonts w:ascii="Aptos" w:hAnsi="Aptos"/>
                <w:color w:val="20272B"/>
                <w:sz w:val="17"/>
              </w:rPr>
              <w:t>Prevents style from hiding factual errors</w:t>
            </w:r>
          </w:p>
        </w:tc>
      </w:tr>
      <w:tr>
        <w:trPr>
          <w:cantSplit/>
        </w:trPr>
        <w:tc>
          <w:tcPr>
            <w:tcW w:type="dxa" w:w="3168"/>
            <w:vAlign w:val="center"/>
            <w:tcMar>
              <w:top w:w="105" w:type="dxa"/>
              <w:start w:w="125" w:type="dxa"/>
              <w:bottom w:w="105" w:type="dxa"/>
              <w:end w:w="125" w:type="dxa"/>
            </w:tcMar>
            <w:shd w:fill="F3F5F6"/>
          </w:tcPr>
          <w:p>
            <w:r>
              <w:rPr>
                <w:rFonts w:ascii="Aptos" w:hAnsi="Aptos"/>
                <w:color w:val="20272B"/>
                <w:sz w:val="17"/>
              </w:rPr>
              <w:t>Human calibration set</w:t>
            </w:r>
          </w:p>
        </w:tc>
        <w:tc>
          <w:tcPr>
            <w:tcW w:type="dxa" w:w="6120"/>
            <w:vAlign w:val="center"/>
            <w:tcMar>
              <w:top w:w="105" w:type="dxa"/>
              <w:start w:w="125" w:type="dxa"/>
              <w:bottom w:w="105" w:type="dxa"/>
              <w:end w:w="125" w:type="dxa"/>
            </w:tcMar>
            <w:shd w:fill="F3F5F6"/>
          </w:tcPr>
          <w:p>
            <w:r>
              <w:rPr>
                <w:rFonts w:ascii="Aptos" w:hAnsi="Aptos"/>
                <w:color w:val="20272B"/>
                <w:sz w:val="17"/>
              </w:rPr>
              <w:t>Estimates agreement and systematic disagreement</w:t>
            </w:r>
          </w:p>
        </w:tc>
      </w:tr>
      <w:tr>
        <w:trPr>
          <w:cantSplit/>
        </w:trPr>
        <w:tc>
          <w:tcPr>
            <w:tcW w:type="dxa" w:w="3168"/>
            <w:vAlign w:val="center"/>
            <w:tcMar>
              <w:top w:w="105" w:type="dxa"/>
              <w:start w:w="125" w:type="dxa"/>
              <w:bottom w:w="105" w:type="dxa"/>
              <w:end w:w="125" w:type="dxa"/>
            </w:tcMar>
          </w:tcPr>
          <w:p>
            <w:r>
              <w:rPr>
                <w:rFonts w:ascii="Aptos" w:hAnsi="Aptos"/>
                <w:color w:val="20272B"/>
                <w:sz w:val="17"/>
              </w:rPr>
              <w:t>Slice reporting</w:t>
            </w:r>
          </w:p>
        </w:tc>
        <w:tc>
          <w:tcPr>
            <w:tcW w:type="dxa" w:w="6120"/>
            <w:vAlign w:val="center"/>
            <w:tcMar>
              <w:top w:w="105" w:type="dxa"/>
              <w:start w:w="125" w:type="dxa"/>
              <w:bottom w:w="105" w:type="dxa"/>
              <w:end w:w="125" w:type="dxa"/>
            </w:tcMar>
          </w:tcPr>
          <w:p>
            <w:r>
              <w:rPr>
                <w:rFonts w:ascii="Aptos" w:hAnsi="Aptos"/>
                <w:color w:val="20272B"/>
                <w:sz w:val="17"/>
              </w:rPr>
              <w:t>Finds task, language, length, or risk specific weakness</w:t>
            </w:r>
          </w:p>
        </w:tc>
      </w:tr>
      <w:tr>
        <w:trPr>
          <w:cantSplit/>
        </w:trPr>
        <w:tc>
          <w:tcPr>
            <w:tcW w:type="dxa" w:w="3168"/>
            <w:vAlign w:val="center"/>
            <w:tcMar>
              <w:top w:w="105" w:type="dxa"/>
              <w:start w:w="125" w:type="dxa"/>
              <w:bottom w:w="105" w:type="dxa"/>
              <w:end w:w="125" w:type="dxa"/>
            </w:tcMar>
            <w:shd w:fill="F3F5F6"/>
          </w:tcPr>
          <w:p>
            <w:r>
              <w:rPr>
                <w:rFonts w:ascii="Aptos" w:hAnsi="Aptos"/>
                <w:color w:val="20272B"/>
                <w:sz w:val="17"/>
              </w:rPr>
              <w:t>Escalation rule</w:t>
            </w:r>
          </w:p>
        </w:tc>
        <w:tc>
          <w:tcPr>
            <w:tcW w:type="dxa" w:w="6120"/>
            <w:vAlign w:val="center"/>
            <w:tcMar>
              <w:top w:w="105" w:type="dxa"/>
              <w:start w:w="125" w:type="dxa"/>
              <w:bottom w:w="105" w:type="dxa"/>
              <w:end w:w="125" w:type="dxa"/>
            </w:tcMar>
            <w:shd w:fill="F3F5F6"/>
          </w:tcPr>
          <w:p>
            <w:r>
              <w:rPr>
                <w:rFonts w:ascii="Aptos" w:hAnsi="Aptos"/>
                <w:color w:val="20272B"/>
                <w:sz w:val="17"/>
              </w:rPr>
              <w:t>Keeps high impact or uncertain cases with qualified people</w:t>
            </w:r>
          </w:p>
        </w:tc>
      </w:tr>
    </w:tbl>
    <w:p>
      <w:pPr>
        <w:pStyle w:val="SmallText"/>
      </w:pPr>
    </w:p>
    <w:p>
      <w:pPr>
        <w:pStyle w:val="Heading2"/>
        <w:keepNext/>
      </w:pPr>
      <w:r>
        <w:t>Prompt for calibrated LLM evaluation</w:t>
      </w:r>
    </w:p>
    <w:p>
      <w:pPr>
        <w:keepNext/>
      </w:pPr>
      <w:r>
        <w:rPr>
          <w:b/>
        </w:rPr>
        <w:t xml:space="preserve">Purpose  </w:t>
      </w:r>
      <w:r>
        <w:t>Produce an auditable evaluation that supports human review.</w:t>
      </w:r>
    </w:p>
    <w:p>
      <w:pPr>
        <w:pStyle w:val="SmallText"/>
        <w:keepNext/>
      </w:pPr>
      <w:r>
        <w:rPr>
          <w:b/>
        </w:rPr>
        <w:t>Copy prompt</w:t>
      </w:r>
    </w:p>
    <w:p>
      <w:pPr>
        <w:pStyle w:val="PromptText"/>
        <w:keepLines/>
      </w:pPr>
      <w:r>
        <w:t>Act as a bounded evaluator, not the final decision maker.</w:t>
      </w:r>
      <w:r>
        <w:br/>
      </w:r>
      <w:r/>
      <w:r>
        <w:br/>
      </w:r>
      <w:r>
        <w:t>TASK: [insert]</w:t>
      </w:r>
      <w:r>
        <w:br/>
      </w:r>
      <w:r>
        <w:t>RESPONSE: [insert]</w:t>
      </w:r>
      <w:r>
        <w:br/>
      </w:r>
      <w:r>
        <w:t>APPROVED EVIDENCE: [insert]</w:t>
      </w:r>
      <w:r>
        <w:br/>
      </w:r>
      <w:r>
        <w:t>RUBRIC WITH ANCHORED SCORES: [insert]</w:t>
      </w:r>
      <w:r>
        <w:br/>
      </w:r>
      <w:r>
        <w:t>RISK TIER: [insert]</w:t>
      </w:r>
      <w:r>
        <w:br/>
      </w:r>
      <w:r/>
      <w:r>
        <w:br/>
      </w:r>
      <w:r>
        <w:t>Evaluate each rubric dimension separately. Cite exact response text and exact evidence text. Report confidence as high, medium, or low with a reason. Identify missing information and evaluator uncertainty. Do not reward length, confidence, polish, or agreement with your own writing style.</w:t>
      </w:r>
      <w:r>
        <w:br/>
      </w:r>
      <w:r/>
      <w:r>
        <w:br/>
      </w:r>
      <w:r>
        <w:t>Return: dimension scores, critical failure flags, rationale, evidence, uncertainty, and human review recommendation.</w:t>
      </w:r>
      <w:r>
        <w:rPr>
          <w:rFonts w:ascii="Aptos" w:hAnsi="Aptos"/>
          <w:b/>
          <w:color w:val="5E6A70"/>
          <w:sz w:val="16"/>
        </w:rPr>
        <w:br/>
        <w:br/>
        <w:t>Tester review  Treat the output as evidence to inspect, not as the final verdict.</w:t>
      </w:r>
    </w:p>
    <w:p>
      <w:pPr>
        <w:pStyle w:val="Heading1"/>
      </w:pPr>
      <w:r>
        <w:t>References</w:t>
      </w:r>
    </w:p>
    <w:p>
      <w:pPr>
        <w:pStyle w:val="SmallText"/>
        <w:ind w:left="317" w:hanging="317"/>
      </w:pPr>
      <w:r>
        <w:t>1. National Institute of Standards and Technology. Artificial Intelligence Risk Management Framework AI RMF 1 0. NIST AI 100 1. 2023. https://doi.org/10.6028/NIST.AI.100-1</w:t>
      </w:r>
    </w:p>
    <w:p>
      <w:pPr>
        <w:pStyle w:val="SmallText"/>
        <w:ind w:left="317" w:hanging="317"/>
      </w:pPr>
      <w:r>
        <w:t>2. Autio C Schwartz R Dunietz J et al. Artificial Intelligence Risk Management Framework Generative Artificial Intelligence Profile. NIST AI 600 1. 2024. https://doi.org/10.6028/NIST.AI.600-1</w:t>
      </w:r>
    </w:p>
    <w:p>
      <w:pPr>
        <w:pStyle w:val="SmallText"/>
        <w:ind w:left="317" w:hanging="317"/>
      </w:pPr>
      <w:r>
        <w:t>3. National Institute of Standards and Technology. Assessing Risks and Impacts of AI Pilot Evaluation Report. NIST AI 700 2. 2025. https://doi.org/10.6028/NIST.AI.700-2</w:t>
      </w:r>
    </w:p>
    <w:p>
      <w:pPr>
        <w:pStyle w:val="SmallText"/>
        <w:ind w:left="317" w:hanging="317"/>
      </w:pPr>
      <w:r>
        <w:t>4. OpenAI. Evaluation best practices. OpenAI API documentation. https://platform.openai.com/docs/guides/evals</w:t>
      </w:r>
    </w:p>
    <w:p>
      <w:pPr>
        <w:pStyle w:val="SmallText"/>
        <w:ind w:left="317" w:hanging="317"/>
      </w:pPr>
      <w:r>
        <w:t>5. OpenAI. Why language models hallucinate. 2025. https://openai.com/index/why-language-models-hallucinate/</w:t>
      </w:r>
    </w:p>
    <w:p>
      <w:pPr>
        <w:pStyle w:val="SmallText"/>
        <w:ind w:left="317" w:hanging="317"/>
      </w:pPr>
      <w:r>
        <w:t>6. Microsoft. Built in evaluation metrics for generative AI. Microsoft Learn. https://learn.microsoft.com/en-us/azure/ai-foundry/concepts/evaluation-metrics-built-in</w:t>
      </w:r>
    </w:p>
    <w:p>
      <w:pPr>
        <w:pStyle w:val="SmallText"/>
        <w:ind w:left="317" w:hanging="317"/>
      </w:pPr>
      <w:r>
        <w:t>7. Es S James J Espinosa Anke L Schockaert S. RAGAS Automated Evaluation of Retrieval Augmented Generation. EACL System Demonstrations. 2024. https://aclanthology.org/2024.eacl-demo.16/</w:t>
      </w:r>
    </w:p>
    <w:p>
      <w:pPr>
        <w:pStyle w:val="SmallText"/>
        <w:ind w:left="317" w:hanging="317"/>
      </w:pPr>
      <w:r>
        <w:t>8. Manakul P Liusie A Gales M. SelfCheckGPT Zero Resource Black Box Hallucination Detection for Generative Large Language Models. EMNLP. 2023. https://aclanthology.org/2023.emnlp-main.557/</w:t>
      </w:r>
    </w:p>
    <w:p>
      <w:pPr>
        <w:pStyle w:val="SmallText"/>
        <w:ind w:left="317" w:hanging="317"/>
      </w:pPr>
      <w:r>
        <w:t>9. Saad Falana B et al. ARES An Automated Evaluation Framework for Retrieval Augmented Generation Systems. NAACL. 2024. https://aclanthology.org/2024.naacl-long.20/</w:t>
      </w:r>
    </w:p>
    <w:p>
      <w:pPr>
        <w:pStyle w:val="SmallText"/>
        <w:ind w:left="317" w:hanging="317"/>
      </w:pPr>
      <w:r>
        <w:t>10. Menick J Trebacz M Mikulik V et al. Teaching Language Models to Support Answers with Verified Quotes. 2022. https://arxiv.org/abs/2203.11147</w:t>
      </w:r>
    </w:p>
    <w:p>
      <w:pPr>
        <w:pStyle w:val="SmallText"/>
        <w:ind w:left="317" w:hanging="317"/>
      </w:pPr>
      <w:r>
        <w:t>11. Zheng L Chiang W L Sheng Y et al. Judging LLM as a Judge with MT Bench and Chatbot Arena. NeurIPS Datasets and Benchmarks. 2023. https://arxiv.org/abs/2306.05685</w:t>
      </w:r>
    </w:p>
    <w:p>
      <w:pPr>
        <w:pStyle w:val="SmallText"/>
        <w:ind w:left="317" w:hanging="317"/>
      </w:pPr>
      <w:r>
        <w:t>12. OWASP GenAI Security Project. Top 10 for LLM and Generative AI Applications. https://genai.owasp.org/llm-top-10/</w:t>
      </w:r>
    </w:p>
    <w:p>
      <w:pPr>
        <w:pStyle w:val="SmallText"/>
      </w:pPr>
      <w:r>
        <w:t>Reference scope  These sources inform the risk, evaluation, grounding, citation, retrieval, and security principles in this toolkit. The templates and workflow are a practical synthesis and should be tailored to the organization and use case.</w:t>
      </w:r>
    </w:p>
    <w:sectPr w:rsidR="00FC693F" w:rsidRPr="0006063C" w:rsidSect="00034616">
      <w:headerReference w:type="default" r:id="rId9"/>
      <w:footerReference w:type="default" r:id="rId10"/>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E6A70"/>
        <w:sz w:val="16"/>
      </w:rPr>
      <w:t xml:space="preserve">TRACE AI Quality Toolkit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67D76"/>
        <w:sz w:val="15"/>
      </w:rPr>
      <w:t>NIKHILA GULAKARAM   ·   APPLIED AI QUALITY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027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40" w:after="160"/>
      <w:outlineLvl w:val="0"/>
    </w:pPr>
    <w:rPr>
      <w:rFonts w:asciiTheme="majorHAnsi" w:eastAsiaTheme="majorEastAsia" w:hAnsiTheme="majorHAnsi" w:cstheme="majorBidi" w:ascii="Aptos Display" w:hAnsi="Aptos Display"/>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ascii="Aptos Display" w:hAnsi="Aptos Display"/>
      <w:b w:val="0"/>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Text">
    <w:name w:val="Prompt Text"/>
    <w:pPr>
      <w:spacing w:after="80" w:line="252" w:lineRule="auto"/>
      <w:ind w:left="317" w:right="173"/>
    </w:pPr>
    <w:rPr>
      <w:rFonts w:ascii="Aptos Mono" w:hAnsi="Aptos Mono"/>
      <w:color w:val="162127"/>
      <w:sz w:val="17"/>
    </w:rPr>
  </w:style>
  <w:style w:type="paragraph" w:customStyle="1" w:styleId="SmallText">
    <w:name w:val="Small Text"/>
    <w:pPr>
      <w:spacing w:after="80"/>
    </w:pPr>
    <w:rPr>
      <w:rFonts w:ascii="Aptos" w:hAnsi="Aptos"/>
      <w:color w:val="5E6A7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TRACE LLM Evaluator Calibration Guide</dc:title>
  <dc:subject>Focused resource from the TRACE AI Response Quality Toolkit</dc:subject>
  <dc:creator>Nikhila Gulakaram</dc:creator>
  <cp:keywords>AI quality, LLM testing, prompt evaluation, RAG, citations, hallucinations, release testing</cp:keywords>
  <dc:description>Version 1.0</dc:description>
  <cp:lastModifiedBy/>
  <cp:revision>1</cp:revision>
  <dcterms:created xsi:type="dcterms:W3CDTF">2013-12-23T23:15:00Z</dcterms:created>
  <dcterms:modified xsi:type="dcterms:W3CDTF">2013-12-23T23:15:00Z</dcterms:modified>
  <cp:category/>
</cp:coreProperties>
</file>