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786E"/>
          <w:sz w:val="20"/>
        </w:rPr>
        <w:t>TRACE AI RESPONSE QUALITY TOOLKIT</w:t>
      </w:r>
    </w:p>
    <w:p>
      <w:pPr>
        <w:pStyle w:val="Title"/>
        <w:jc w:val="left"/>
      </w:pPr>
      <w:r>
        <w:rPr>
          <w:color w:val="000000"/>
        </w:rPr>
        <w:t>TRACE AI Release and Reporting Templates</w:t>
      </w:r>
    </w:p>
    <w:p>
      <w:pPr>
        <w:pStyle w:val="Subtitle"/>
        <w:jc w:val="left"/>
      </w:pPr>
      <w:r>
        <w:t>A focused resource for testers and AI quality teams</w:t>
      </w:r>
    </w:p>
    <w:p>
      <w:r>
        <w:t>Use these templates to convert AI evaluation evidence into release decisions, reproducible defects, accountable follow-up actions, and concise test summaries for business and technical stakeholders.</w:t>
      </w:r>
    </w:p>
    <w:p>
      <w:r>
        <w:t>Author  Nikhila Gulakaram</w:t>
      </w:r>
    </w:p>
    <w:p>
      <w:r>
        <w:t>QA Lead and Applied AI Quality Researcher</w:t>
      </w:r>
    </w:p>
    <w:p>
      <w:pPr>
        <w:pStyle w:val="Heading2"/>
        <w:spacing w:before="360"/>
      </w:pPr>
      <w:r>
        <w:t>Included in this resource</w:t>
      </w:r>
    </w:p>
    <w:p>
      <w:pPr>
        <w:pStyle w:val="ListBullet"/>
      </w:pPr>
      <w:r>
        <w:t>Quality metrics and release gate worksheet</w:t>
      </w:r>
    </w:p>
    <w:p>
      <w:pPr>
        <w:pStyle w:val="ListBullet"/>
      </w:pPr>
      <w:r>
        <w:t>Defect and evidence record</w:t>
      </w:r>
    </w:p>
    <w:p>
      <w:pPr>
        <w:pStyle w:val="ListBullet"/>
      </w:pPr>
      <w:r>
        <w:t>Root cause terminology</w:t>
      </w:r>
    </w:p>
    <w:p>
      <w:pPr>
        <w:pStyle w:val="ListBullet"/>
      </w:pPr>
      <w:r>
        <w:t>Test summary and decision template</w:t>
      </w:r>
    </w:p>
    <w:p>
      <w:pPr>
        <w:pStyle w:val="ListBullet"/>
      </w:pPr>
      <w:r>
        <w:t>Operating cadence and revalidation triggers</w:t>
      </w:r>
    </w:p>
    <w:p>
      <w:pPr>
        <w:spacing w:before="360"/>
      </w:pPr>
      <w:r>
        <w:rPr>
          <w:b/>
        </w:rPr>
        <w:t xml:space="preserve">Use note  </w:t>
      </w:r>
      <w:r>
        <w:t>Adapt the worksheets and prompts to the approved requirements, data, evidence, policies, and risk thresholds for the system being tested.</w:t>
      </w:r>
    </w:p>
    <w:p>
      <w:r>
        <w:br w:type="page"/>
      </w:r>
    </w:p>
    <w:p>
      <w:pPr>
        <w:pStyle w:val="Heading1"/>
      </w:pPr>
      <w:r>
        <w:t>Metrics and release gates</w:t>
      </w:r>
    </w:p>
    <w:p>
      <w:r>
        <w:t>Choose metrics that reflect the decision. Preserve numerator, denominator, test slice, model and prompt version, evaluation method, and uncertainty. Never report a percentage without the tested population.</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088"/>
            <w:shd w:fill="162127"/>
            <w:vAlign w:val="center"/>
            <w:tcMar>
              <w:top w:w="115" w:type="dxa"/>
              <w:start w:w="125" w:type="dxa"/>
              <w:bottom w:w="115" w:type="dxa"/>
              <w:end w:w="125" w:type="dxa"/>
            </w:tcMar>
          </w:tcPr>
          <w:p>
            <w:pPr>
              <w:jc w:val="center"/>
            </w:pPr>
            <w:r>
              <w:rPr>
                <w:rFonts w:ascii="Aptos" w:hAnsi="Aptos"/>
                <w:b/>
                <w:color w:val="FFFFFF"/>
                <w:sz w:val="15"/>
              </w:rPr>
              <w:t>Metric</w:t>
            </w:r>
          </w:p>
        </w:tc>
        <w:tc>
          <w:tcPr>
            <w:tcW w:type="dxa" w:w="4392"/>
            <w:shd w:fill="162127"/>
            <w:vAlign w:val="center"/>
            <w:tcMar>
              <w:top w:w="115" w:type="dxa"/>
              <w:start w:w="125" w:type="dxa"/>
              <w:bottom w:w="115" w:type="dxa"/>
              <w:end w:w="125" w:type="dxa"/>
            </w:tcMar>
          </w:tcPr>
          <w:p>
            <w:pPr>
              <w:jc w:val="center"/>
            </w:pPr>
            <w:r>
              <w:rPr>
                <w:rFonts w:ascii="Aptos" w:hAnsi="Aptos"/>
                <w:b/>
                <w:color w:val="FFFFFF"/>
                <w:sz w:val="15"/>
              </w:rPr>
              <w:t>Definition</w:t>
            </w:r>
          </w:p>
        </w:tc>
        <w:tc>
          <w:tcPr>
            <w:tcW w:type="dxa" w:w="2808"/>
            <w:shd w:fill="162127"/>
            <w:vAlign w:val="center"/>
            <w:tcMar>
              <w:top w:w="115" w:type="dxa"/>
              <w:start w:w="125" w:type="dxa"/>
              <w:bottom w:w="115" w:type="dxa"/>
              <w:end w:w="125" w:type="dxa"/>
            </w:tcMar>
          </w:tcPr>
          <w:p>
            <w:pPr>
              <w:jc w:val="center"/>
            </w:pPr>
            <w:r>
              <w:rPr>
                <w:rFonts w:ascii="Aptos" w:hAnsi="Aptos"/>
                <w:b/>
                <w:color w:val="FFFFFF"/>
                <w:sz w:val="15"/>
              </w:rPr>
              <w:t>Decision use</w:t>
            </w:r>
          </w:p>
        </w:tc>
      </w:tr>
      <w:tr>
        <w:trPr>
          <w:cantSplit/>
        </w:trPr>
        <w:tc>
          <w:tcPr>
            <w:tcW w:type="dxa" w:w="2088"/>
            <w:vAlign w:val="center"/>
            <w:tcMar>
              <w:top w:w="105" w:type="dxa"/>
              <w:start w:w="125" w:type="dxa"/>
              <w:bottom w:w="105" w:type="dxa"/>
              <w:end w:w="125" w:type="dxa"/>
            </w:tcMar>
          </w:tcPr>
          <w:p>
            <w:r>
              <w:rPr>
                <w:rFonts w:ascii="Aptos" w:hAnsi="Aptos"/>
                <w:color w:val="20272B"/>
                <w:sz w:val="15"/>
              </w:rPr>
              <w:t>Task pass rate</w:t>
            </w:r>
          </w:p>
        </w:tc>
        <w:tc>
          <w:tcPr>
            <w:tcW w:type="dxa" w:w="4392"/>
            <w:vAlign w:val="center"/>
            <w:tcMar>
              <w:top w:w="105" w:type="dxa"/>
              <w:start w:w="125" w:type="dxa"/>
              <w:bottom w:w="105" w:type="dxa"/>
              <w:end w:w="125" w:type="dxa"/>
            </w:tcMar>
          </w:tcPr>
          <w:p>
            <w:r>
              <w:rPr>
                <w:rFonts w:ascii="Aptos" w:hAnsi="Aptos"/>
                <w:color w:val="20272B"/>
                <w:sz w:val="15"/>
              </w:rPr>
              <w:t>Passed test cases divided by applicable executed cases</w:t>
            </w:r>
          </w:p>
        </w:tc>
        <w:tc>
          <w:tcPr>
            <w:tcW w:type="dxa" w:w="2808"/>
            <w:vAlign w:val="center"/>
            <w:tcMar>
              <w:top w:w="105" w:type="dxa"/>
              <w:start w:w="125" w:type="dxa"/>
              <w:bottom w:w="105" w:type="dxa"/>
              <w:end w:w="125" w:type="dxa"/>
            </w:tcMar>
          </w:tcPr>
          <w:p>
            <w:r>
              <w:rPr>
                <w:rFonts w:ascii="Aptos" w:hAnsi="Aptos"/>
                <w:color w:val="20272B"/>
                <w:sz w:val="15"/>
              </w:rPr>
              <w:t>Overall and slice readiness</w:t>
            </w:r>
          </w:p>
        </w:tc>
      </w:tr>
      <w:tr>
        <w:trPr>
          <w:cantSplit/>
        </w:trPr>
        <w:tc>
          <w:tcPr>
            <w:tcW w:type="dxa" w:w="2088"/>
            <w:vAlign w:val="center"/>
            <w:tcMar>
              <w:top w:w="105" w:type="dxa"/>
              <w:start w:w="125" w:type="dxa"/>
              <w:bottom w:w="105" w:type="dxa"/>
              <w:end w:w="125" w:type="dxa"/>
            </w:tcMar>
            <w:shd w:fill="F3F5F6"/>
          </w:tcPr>
          <w:p>
            <w:r>
              <w:rPr>
                <w:rFonts w:ascii="Aptos" w:hAnsi="Aptos"/>
                <w:color w:val="20272B"/>
                <w:sz w:val="15"/>
              </w:rPr>
              <w:t>Unsupported claim rate</w:t>
            </w:r>
          </w:p>
        </w:tc>
        <w:tc>
          <w:tcPr>
            <w:tcW w:type="dxa" w:w="4392"/>
            <w:vAlign w:val="center"/>
            <w:tcMar>
              <w:top w:w="105" w:type="dxa"/>
              <w:start w:w="125" w:type="dxa"/>
              <w:bottom w:w="105" w:type="dxa"/>
              <w:end w:w="125" w:type="dxa"/>
            </w:tcMar>
            <w:shd w:fill="F3F5F6"/>
          </w:tcPr>
          <w:p>
            <w:r>
              <w:rPr>
                <w:rFonts w:ascii="Aptos" w:hAnsi="Aptos"/>
                <w:color w:val="20272B"/>
                <w:sz w:val="15"/>
              </w:rPr>
              <w:t>Unsupported factual claims divided by factual claims</w:t>
            </w:r>
          </w:p>
        </w:tc>
        <w:tc>
          <w:tcPr>
            <w:tcW w:type="dxa" w:w="2808"/>
            <w:vAlign w:val="center"/>
            <w:tcMar>
              <w:top w:w="105" w:type="dxa"/>
              <w:start w:w="125" w:type="dxa"/>
              <w:bottom w:w="105" w:type="dxa"/>
              <w:end w:w="125" w:type="dxa"/>
            </w:tcMar>
            <w:shd w:fill="F3F5F6"/>
          </w:tcPr>
          <w:p>
            <w:r>
              <w:rPr>
                <w:rFonts w:ascii="Aptos" w:hAnsi="Aptos"/>
                <w:color w:val="20272B"/>
                <w:sz w:val="15"/>
              </w:rPr>
              <w:t>Claim level grounding risk</w:t>
            </w:r>
          </w:p>
        </w:tc>
      </w:tr>
      <w:tr>
        <w:trPr>
          <w:cantSplit/>
        </w:trPr>
        <w:tc>
          <w:tcPr>
            <w:tcW w:type="dxa" w:w="2088"/>
            <w:vAlign w:val="center"/>
            <w:tcMar>
              <w:top w:w="105" w:type="dxa"/>
              <w:start w:w="125" w:type="dxa"/>
              <w:bottom w:w="105" w:type="dxa"/>
              <w:end w:w="125" w:type="dxa"/>
            </w:tcMar>
          </w:tcPr>
          <w:p>
            <w:r>
              <w:rPr>
                <w:rFonts w:ascii="Aptos" w:hAnsi="Aptos"/>
                <w:color w:val="20272B"/>
                <w:sz w:val="15"/>
              </w:rPr>
              <w:t>Response hallucination rate</w:t>
            </w:r>
          </w:p>
        </w:tc>
        <w:tc>
          <w:tcPr>
            <w:tcW w:type="dxa" w:w="4392"/>
            <w:vAlign w:val="center"/>
            <w:tcMar>
              <w:top w:w="105" w:type="dxa"/>
              <w:start w:w="125" w:type="dxa"/>
              <w:bottom w:w="105" w:type="dxa"/>
              <w:end w:w="125" w:type="dxa"/>
            </w:tcMar>
          </w:tcPr>
          <w:p>
            <w:r>
              <w:rPr>
                <w:rFonts w:ascii="Aptos" w:hAnsi="Aptos"/>
                <w:color w:val="20272B"/>
                <w:sz w:val="15"/>
              </w:rPr>
              <w:t>Responses with at least one unsupported or contradicted claim divided by responses</w:t>
            </w:r>
          </w:p>
        </w:tc>
        <w:tc>
          <w:tcPr>
            <w:tcW w:type="dxa" w:w="2808"/>
            <w:vAlign w:val="center"/>
            <w:tcMar>
              <w:top w:w="105" w:type="dxa"/>
              <w:start w:w="125" w:type="dxa"/>
              <w:bottom w:w="105" w:type="dxa"/>
              <w:end w:w="125" w:type="dxa"/>
            </w:tcMar>
          </w:tcPr>
          <w:p>
            <w:r>
              <w:rPr>
                <w:rFonts w:ascii="Aptos" w:hAnsi="Aptos"/>
                <w:color w:val="20272B"/>
                <w:sz w:val="15"/>
              </w:rPr>
              <w:t>User facing exposure</w:t>
            </w:r>
          </w:p>
        </w:tc>
      </w:tr>
      <w:tr>
        <w:trPr>
          <w:cantSplit/>
        </w:trPr>
        <w:tc>
          <w:tcPr>
            <w:tcW w:type="dxa" w:w="2088"/>
            <w:vAlign w:val="center"/>
            <w:tcMar>
              <w:top w:w="105" w:type="dxa"/>
              <w:start w:w="125" w:type="dxa"/>
              <w:bottom w:w="105" w:type="dxa"/>
              <w:end w:w="125" w:type="dxa"/>
            </w:tcMar>
            <w:shd w:fill="F3F5F6"/>
          </w:tcPr>
          <w:p>
            <w:r>
              <w:rPr>
                <w:rFonts w:ascii="Aptos" w:hAnsi="Aptos"/>
                <w:color w:val="20272B"/>
                <w:sz w:val="15"/>
              </w:rPr>
              <w:t>Critical failure rate</w:t>
            </w:r>
          </w:p>
        </w:tc>
        <w:tc>
          <w:tcPr>
            <w:tcW w:type="dxa" w:w="4392"/>
            <w:vAlign w:val="center"/>
            <w:tcMar>
              <w:top w:w="105" w:type="dxa"/>
              <w:start w:w="125" w:type="dxa"/>
              <w:bottom w:w="105" w:type="dxa"/>
              <w:end w:w="125" w:type="dxa"/>
            </w:tcMar>
            <w:shd w:fill="F3F5F6"/>
          </w:tcPr>
          <w:p>
            <w:r>
              <w:rPr>
                <w:rFonts w:ascii="Aptos" w:hAnsi="Aptos"/>
                <w:color w:val="20272B"/>
                <w:sz w:val="15"/>
              </w:rPr>
              <w:t>Critical slice responses with a critical failure divided by critical slice responses</w:t>
            </w:r>
          </w:p>
        </w:tc>
        <w:tc>
          <w:tcPr>
            <w:tcW w:type="dxa" w:w="2808"/>
            <w:vAlign w:val="center"/>
            <w:tcMar>
              <w:top w:w="105" w:type="dxa"/>
              <w:start w:w="125" w:type="dxa"/>
              <w:bottom w:w="105" w:type="dxa"/>
              <w:end w:w="125" w:type="dxa"/>
            </w:tcMar>
            <w:shd w:fill="F3F5F6"/>
          </w:tcPr>
          <w:p>
            <w:r>
              <w:rPr>
                <w:rFonts w:ascii="Aptos" w:hAnsi="Aptos"/>
                <w:color w:val="20272B"/>
                <w:sz w:val="15"/>
              </w:rPr>
              <w:t>Release blocker</w:t>
            </w:r>
          </w:p>
        </w:tc>
      </w:tr>
      <w:tr>
        <w:trPr>
          <w:cantSplit/>
        </w:trPr>
        <w:tc>
          <w:tcPr>
            <w:tcW w:type="dxa" w:w="2088"/>
            <w:vAlign w:val="center"/>
            <w:tcMar>
              <w:top w:w="105" w:type="dxa"/>
              <w:start w:w="125" w:type="dxa"/>
              <w:bottom w:w="105" w:type="dxa"/>
              <w:end w:w="125" w:type="dxa"/>
            </w:tcMar>
          </w:tcPr>
          <w:p>
            <w:r>
              <w:rPr>
                <w:rFonts w:ascii="Aptos" w:hAnsi="Aptos"/>
                <w:color w:val="20272B"/>
                <w:sz w:val="15"/>
              </w:rPr>
              <w:t>Citation support precision</w:t>
            </w:r>
          </w:p>
        </w:tc>
        <w:tc>
          <w:tcPr>
            <w:tcW w:type="dxa" w:w="4392"/>
            <w:vAlign w:val="center"/>
            <w:tcMar>
              <w:top w:w="105" w:type="dxa"/>
              <w:start w:w="125" w:type="dxa"/>
              <w:bottom w:w="105" w:type="dxa"/>
              <w:end w:w="125" w:type="dxa"/>
            </w:tcMar>
          </w:tcPr>
          <w:p>
            <w:r>
              <w:rPr>
                <w:rFonts w:ascii="Aptos" w:hAnsi="Aptos"/>
                <w:color w:val="20272B"/>
                <w:sz w:val="15"/>
              </w:rPr>
              <w:t>Citations supporting the exact claim divided by citations checked</w:t>
            </w:r>
          </w:p>
        </w:tc>
        <w:tc>
          <w:tcPr>
            <w:tcW w:type="dxa" w:w="2808"/>
            <w:vAlign w:val="center"/>
            <w:tcMar>
              <w:top w:w="105" w:type="dxa"/>
              <w:start w:w="125" w:type="dxa"/>
              <w:bottom w:w="105" w:type="dxa"/>
              <w:end w:w="125" w:type="dxa"/>
            </w:tcMar>
          </w:tcPr>
          <w:p>
            <w:r>
              <w:rPr>
                <w:rFonts w:ascii="Aptos" w:hAnsi="Aptos"/>
                <w:color w:val="20272B"/>
                <w:sz w:val="15"/>
              </w:rPr>
              <w:t>Citation reliability</w:t>
            </w:r>
          </w:p>
        </w:tc>
      </w:tr>
      <w:tr>
        <w:trPr>
          <w:cantSplit/>
        </w:trPr>
        <w:tc>
          <w:tcPr>
            <w:tcW w:type="dxa" w:w="2088"/>
            <w:vAlign w:val="center"/>
            <w:tcMar>
              <w:top w:w="105" w:type="dxa"/>
              <w:start w:w="125" w:type="dxa"/>
              <w:bottom w:w="105" w:type="dxa"/>
              <w:end w:w="125" w:type="dxa"/>
            </w:tcMar>
            <w:shd w:fill="F3F5F6"/>
          </w:tcPr>
          <w:p>
            <w:r>
              <w:rPr>
                <w:rFonts w:ascii="Aptos" w:hAnsi="Aptos"/>
                <w:color w:val="20272B"/>
                <w:sz w:val="15"/>
              </w:rPr>
              <w:t>Correct abstention accuracy</w:t>
            </w:r>
          </w:p>
        </w:tc>
        <w:tc>
          <w:tcPr>
            <w:tcW w:type="dxa" w:w="4392"/>
            <w:vAlign w:val="center"/>
            <w:tcMar>
              <w:top w:w="105" w:type="dxa"/>
              <w:start w:w="125" w:type="dxa"/>
              <w:bottom w:w="105" w:type="dxa"/>
              <w:end w:w="125" w:type="dxa"/>
            </w:tcMar>
            <w:shd w:fill="F3F5F6"/>
          </w:tcPr>
          <w:p>
            <w:r>
              <w:rPr>
                <w:rFonts w:ascii="Aptos" w:hAnsi="Aptos"/>
                <w:color w:val="20272B"/>
                <w:sz w:val="15"/>
              </w:rPr>
              <w:t>Correct abstentions divided by cases that require abstention</w:t>
            </w:r>
          </w:p>
        </w:tc>
        <w:tc>
          <w:tcPr>
            <w:tcW w:type="dxa" w:w="2808"/>
            <w:vAlign w:val="center"/>
            <w:tcMar>
              <w:top w:w="105" w:type="dxa"/>
              <w:start w:w="125" w:type="dxa"/>
              <w:bottom w:w="105" w:type="dxa"/>
              <w:end w:w="125" w:type="dxa"/>
            </w:tcMar>
            <w:shd w:fill="F3F5F6"/>
          </w:tcPr>
          <w:p>
            <w:r>
              <w:rPr>
                <w:rFonts w:ascii="Aptos" w:hAnsi="Aptos"/>
                <w:color w:val="20272B"/>
                <w:sz w:val="15"/>
              </w:rPr>
              <w:t>Unsafe guessing control</w:t>
            </w:r>
          </w:p>
        </w:tc>
      </w:tr>
      <w:tr>
        <w:trPr>
          <w:cantSplit/>
        </w:trPr>
        <w:tc>
          <w:tcPr>
            <w:tcW w:type="dxa" w:w="2088"/>
            <w:vAlign w:val="center"/>
            <w:tcMar>
              <w:top w:w="105" w:type="dxa"/>
              <w:start w:w="125" w:type="dxa"/>
              <w:bottom w:w="105" w:type="dxa"/>
              <w:end w:w="125" w:type="dxa"/>
            </w:tcMar>
          </w:tcPr>
          <w:p>
            <w:r>
              <w:rPr>
                <w:rFonts w:ascii="Aptos" w:hAnsi="Aptos"/>
                <w:color w:val="20272B"/>
                <w:sz w:val="15"/>
              </w:rPr>
              <w:t>False refusal rate</w:t>
            </w:r>
          </w:p>
        </w:tc>
        <w:tc>
          <w:tcPr>
            <w:tcW w:type="dxa" w:w="4392"/>
            <w:vAlign w:val="center"/>
            <w:tcMar>
              <w:top w:w="105" w:type="dxa"/>
              <w:start w:w="125" w:type="dxa"/>
              <w:bottom w:w="105" w:type="dxa"/>
              <w:end w:w="125" w:type="dxa"/>
            </w:tcMar>
          </w:tcPr>
          <w:p>
            <w:r>
              <w:rPr>
                <w:rFonts w:ascii="Aptos" w:hAnsi="Aptos"/>
                <w:color w:val="20272B"/>
                <w:sz w:val="15"/>
              </w:rPr>
              <w:t>Valid answerable requests refused divided by answerable requests</w:t>
            </w:r>
          </w:p>
        </w:tc>
        <w:tc>
          <w:tcPr>
            <w:tcW w:type="dxa" w:w="2808"/>
            <w:vAlign w:val="center"/>
            <w:tcMar>
              <w:top w:w="105" w:type="dxa"/>
              <w:start w:w="125" w:type="dxa"/>
              <w:bottom w:w="105" w:type="dxa"/>
              <w:end w:w="125" w:type="dxa"/>
            </w:tcMar>
          </w:tcPr>
          <w:p>
            <w:r>
              <w:rPr>
                <w:rFonts w:ascii="Aptos" w:hAnsi="Aptos"/>
                <w:color w:val="20272B"/>
                <w:sz w:val="15"/>
              </w:rPr>
              <w:t>Usefulness cost</w:t>
            </w:r>
          </w:p>
        </w:tc>
      </w:tr>
      <w:tr>
        <w:trPr>
          <w:cantSplit/>
        </w:trPr>
        <w:tc>
          <w:tcPr>
            <w:tcW w:type="dxa" w:w="2088"/>
            <w:vAlign w:val="center"/>
            <w:tcMar>
              <w:top w:w="105" w:type="dxa"/>
              <w:start w:w="125" w:type="dxa"/>
              <w:bottom w:w="105" w:type="dxa"/>
              <w:end w:w="125" w:type="dxa"/>
            </w:tcMar>
            <w:shd w:fill="F3F5F6"/>
          </w:tcPr>
          <w:p>
            <w:r>
              <w:rPr>
                <w:rFonts w:ascii="Aptos" w:hAnsi="Aptos"/>
                <w:color w:val="20272B"/>
                <w:sz w:val="15"/>
              </w:rPr>
              <w:t>Position flip rate</w:t>
            </w:r>
          </w:p>
        </w:tc>
        <w:tc>
          <w:tcPr>
            <w:tcW w:type="dxa" w:w="4392"/>
            <w:vAlign w:val="center"/>
            <w:tcMar>
              <w:top w:w="105" w:type="dxa"/>
              <w:start w:w="125" w:type="dxa"/>
              <w:bottom w:w="105" w:type="dxa"/>
              <w:end w:w="125" w:type="dxa"/>
            </w:tcMar>
            <w:shd w:fill="F3F5F6"/>
          </w:tcPr>
          <w:p>
            <w:r>
              <w:rPr>
                <w:rFonts w:ascii="Aptos" w:hAnsi="Aptos"/>
                <w:color w:val="20272B"/>
                <w:sz w:val="15"/>
              </w:rPr>
              <w:t>Pairwise verdicts changed after order reversal divided by pairs</w:t>
            </w:r>
          </w:p>
        </w:tc>
        <w:tc>
          <w:tcPr>
            <w:tcW w:type="dxa" w:w="2808"/>
            <w:vAlign w:val="center"/>
            <w:tcMar>
              <w:top w:w="105" w:type="dxa"/>
              <w:start w:w="125" w:type="dxa"/>
              <w:bottom w:w="105" w:type="dxa"/>
              <w:end w:w="125" w:type="dxa"/>
            </w:tcMar>
            <w:shd w:fill="F3F5F6"/>
          </w:tcPr>
          <w:p>
            <w:r>
              <w:rPr>
                <w:rFonts w:ascii="Aptos" w:hAnsi="Aptos"/>
                <w:color w:val="20272B"/>
                <w:sz w:val="15"/>
              </w:rPr>
              <w:t>Evaluator bias</w:t>
            </w:r>
          </w:p>
        </w:tc>
      </w:tr>
      <w:tr>
        <w:trPr>
          <w:cantSplit/>
        </w:trPr>
        <w:tc>
          <w:tcPr>
            <w:tcW w:type="dxa" w:w="2088"/>
            <w:vAlign w:val="center"/>
            <w:tcMar>
              <w:top w:w="105" w:type="dxa"/>
              <w:start w:w="125" w:type="dxa"/>
              <w:bottom w:w="105" w:type="dxa"/>
              <w:end w:w="125" w:type="dxa"/>
            </w:tcMar>
          </w:tcPr>
          <w:p>
            <w:r>
              <w:rPr>
                <w:rFonts w:ascii="Aptos" w:hAnsi="Aptos"/>
                <w:color w:val="20272B"/>
                <w:sz w:val="15"/>
              </w:rPr>
              <w:t>Human agreement</w:t>
            </w:r>
          </w:p>
        </w:tc>
        <w:tc>
          <w:tcPr>
            <w:tcW w:type="dxa" w:w="4392"/>
            <w:vAlign w:val="center"/>
            <w:tcMar>
              <w:top w:w="105" w:type="dxa"/>
              <w:start w:w="125" w:type="dxa"/>
              <w:bottom w:w="105" w:type="dxa"/>
              <w:end w:w="125" w:type="dxa"/>
            </w:tcMar>
          </w:tcPr>
          <w:p>
            <w:r>
              <w:rPr>
                <w:rFonts w:ascii="Aptos" w:hAnsi="Aptos"/>
                <w:color w:val="20272B"/>
                <w:sz w:val="15"/>
              </w:rPr>
              <w:t>Evaluator judgments matching human reference labels divided by calibrated cases</w:t>
            </w:r>
          </w:p>
        </w:tc>
        <w:tc>
          <w:tcPr>
            <w:tcW w:type="dxa" w:w="2808"/>
            <w:vAlign w:val="center"/>
            <w:tcMar>
              <w:top w:w="105" w:type="dxa"/>
              <w:start w:w="125" w:type="dxa"/>
              <w:bottom w:w="105" w:type="dxa"/>
              <w:end w:w="125" w:type="dxa"/>
            </w:tcMar>
          </w:tcPr>
          <w:p>
            <w:r>
              <w:rPr>
                <w:rFonts w:ascii="Aptos" w:hAnsi="Aptos"/>
                <w:color w:val="20272B"/>
                <w:sz w:val="15"/>
              </w:rPr>
              <w:t>Automation fitness</w:t>
            </w:r>
          </w:p>
        </w:tc>
      </w:tr>
      <w:tr>
        <w:trPr>
          <w:cantSplit/>
        </w:trPr>
        <w:tc>
          <w:tcPr>
            <w:tcW w:type="dxa" w:w="2088"/>
            <w:vAlign w:val="center"/>
            <w:tcMar>
              <w:top w:w="105" w:type="dxa"/>
              <w:start w:w="125" w:type="dxa"/>
              <w:bottom w:w="105" w:type="dxa"/>
              <w:end w:w="125" w:type="dxa"/>
            </w:tcMar>
            <w:shd w:fill="F3F5F6"/>
          </w:tcPr>
          <w:p>
            <w:r>
              <w:rPr>
                <w:rFonts w:ascii="Aptos" w:hAnsi="Aptos"/>
                <w:color w:val="20272B"/>
                <w:sz w:val="15"/>
              </w:rPr>
              <w:t>P95 latency</w:t>
            </w:r>
          </w:p>
        </w:tc>
        <w:tc>
          <w:tcPr>
            <w:tcW w:type="dxa" w:w="4392"/>
            <w:vAlign w:val="center"/>
            <w:tcMar>
              <w:top w:w="105" w:type="dxa"/>
              <w:start w:w="125" w:type="dxa"/>
              <w:bottom w:w="105" w:type="dxa"/>
              <w:end w:w="125" w:type="dxa"/>
            </w:tcMar>
            <w:shd w:fill="F3F5F6"/>
          </w:tcPr>
          <w:p>
            <w:r>
              <w:rPr>
                <w:rFonts w:ascii="Aptos" w:hAnsi="Aptos"/>
                <w:color w:val="20272B"/>
                <w:sz w:val="15"/>
              </w:rPr>
              <w:t>95th percentile end to end response time</w:t>
            </w:r>
          </w:p>
        </w:tc>
        <w:tc>
          <w:tcPr>
            <w:tcW w:type="dxa" w:w="2808"/>
            <w:vAlign w:val="center"/>
            <w:tcMar>
              <w:top w:w="105" w:type="dxa"/>
              <w:start w:w="125" w:type="dxa"/>
              <w:bottom w:w="105" w:type="dxa"/>
              <w:end w:w="125" w:type="dxa"/>
            </w:tcMar>
            <w:shd w:fill="F3F5F6"/>
          </w:tcPr>
          <w:p>
            <w:r>
              <w:rPr>
                <w:rFonts w:ascii="Aptos" w:hAnsi="Aptos"/>
                <w:color w:val="20272B"/>
                <w:sz w:val="15"/>
              </w:rPr>
              <w:t>User experience and capacity</w:t>
            </w:r>
          </w:p>
        </w:tc>
      </w:tr>
    </w:tbl>
    <w:p>
      <w:pPr>
        <w:pStyle w:val="SmallText"/>
      </w:pPr>
    </w:p>
    <w:p>
      <w:pPr>
        <w:pStyle w:val="Heading2"/>
      </w:pPr>
      <w:r>
        <w:t>Release gate worksheet</w:t>
      </w:r>
    </w:p>
    <w:tbl>
      <w:tblPr>
        <w:tblStyle w:val="TableGrid"/>
        <w:tblW w:type="auto" w:w="0"/>
        <w:jc w:val="center"/>
        <w:tblLook w:firstColumn="1" w:firstRow="1" w:lastColumn="0" w:lastRow="0" w:noHBand="0" w:noVBand="1" w:val="04A0"/>
      </w:tblPr>
      <w:tblGrid>
        <w:gridCol w:w="1666"/>
        <w:gridCol w:w="1666"/>
        <w:gridCol w:w="1666"/>
        <w:gridCol w:w="1666"/>
        <w:gridCol w:w="1666"/>
        <w:gridCol w:w="1666"/>
      </w:tblGrid>
      <w:tr>
        <w:trPr>
          <w:tblHeader w:val="true"/>
        </w:trPr>
        <w:tc>
          <w:tcPr>
            <w:tcW w:type="dxa" w:w="1800"/>
            <w:shd w:fill="162127"/>
            <w:vAlign w:val="center"/>
            <w:tcMar>
              <w:top w:w="115" w:type="dxa"/>
              <w:start w:w="125" w:type="dxa"/>
              <w:bottom w:w="115" w:type="dxa"/>
              <w:end w:w="125" w:type="dxa"/>
            </w:tcMar>
          </w:tcPr>
          <w:p>
            <w:pPr>
              <w:jc w:val="center"/>
            </w:pPr>
            <w:r>
              <w:rPr>
                <w:rFonts w:ascii="Aptos" w:hAnsi="Aptos"/>
                <w:b/>
                <w:color w:val="FFFFFF"/>
                <w:sz w:val="15"/>
              </w:rPr>
              <w:t>Slice</w:t>
            </w:r>
          </w:p>
        </w:tc>
        <w:tc>
          <w:tcPr>
            <w:tcW w:type="dxa" w:w="1800"/>
            <w:shd w:fill="162127"/>
            <w:vAlign w:val="center"/>
            <w:tcMar>
              <w:top w:w="115" w:type="dxa"/>
              <w:start w:w="125" w:type="dxa"/>
              <w:bottom w:w="115" w:type="dxa"/>
              <w:end w:w="125" w:type="dxa"/>
            </w:tcMar>
          </w:tcPr>
          <w:p>
            <w:pPr>
              <w:jc w:val="center"/>
            </w:pPr>
            <w:r>
              <w:rPr>
                <w:rFonts w:ascii="Aptos" w:hAnsi="Aptos"/>
                <w:b/>
                <w:color w:val="FFFFFF"/>
                <w:sz w:val="15"/>
              </w:rPr>
              <w:t>Metric</w:t>
            </w:r>
          </w:p>
        </w:tc>
        <w:tc>
          <w:tcPr>
            <w:tcW w:type="dxa" w:w="1440"/>
            <w:shd w:fill="162127"/>
            <w:vAlign w:val="center"/>
            <w:tcMar>
              <w:top w:w="115" w:type="dxa"/>
              <w:start w:w="125" w:type="dxa"/>
              <w:bottom w:w="115" w:type="dxa"/>
              <w:end w:w="125" w:type="dxa"/>
            </w:tcMar>
          </w:tcPr>
          <w:p>
            <w:pPr>
              <w:jc w:val="center"/>
            </w:pPr>
            <w:r>
              <w:rPr>
                <w:rFonts w:ascii="Aptos" w:hAnsi="Aptos"/>
                <w:b/>
                <w:color w:val="FFFFFF"/>
                <w:sz w:val="15"/>
              </w:rPr>
              <w:t>Threshold</w:t>
            </w:r>
          </w:p>
        </w:tc>
        <w:tc>
          <w:tcPr>
            <w:tcW w:type="dxa" w:w="1440"/>
            <w:shd w:fill="162127"/>
            <w:vAlign w:val="center"/>
            <w:tcMar>
              <w:top w:w="115" w:type="dxa"/>
              <w:start w:w="125" w:type="dxa"/>
              <w:bottom w:w="115" w:type="dxa"/>
              <w:end w:w="125" w:type="dxa"/>
            </w:tcMar>
          </w:tcPr>
          <w:p>
            <w:pPr>
              <w:jc w:val="center"/>
            </w:pPr>
            <w:r>
              <w:rPr>
                <w:rFonts w:ascii="Aptos" w:hAnsi="Aptos"/>
                <w:b/>
                <w:color w:val="FFFFFF"/>
                <w:sz w:val="15"/>
              </w:rPr>
              <w:t>Observed</w:t>
            </w:r>
          </w:p>
        </w:tc>
        <w:tc>
          <w:tcPr>
            <w:tcW w:type="dxa" w:w="1368"/>
            <w:shd w:fill="162127"/>
            <w:vAlign w:val="center"/>
            <w:tcMar>
              <w:top w:w="115" w:type="dxa"/>
              <w:start w:w="125" w:type="dxa"/>
              <w:bottom w:w="115" w:type="dxa"/>
              <w:end w:w="125" w:type="dxa"/>
            </w:tcMar>
          </w:tcPr>
          <w:p>
            <w:pPr>
              <w:jc w:val="center"/>
            </w:pPr>
            <w:r>
              <w:rPr>
                <w:rFonts w:ascii="Aptos" w:hAnsi="Aptos"/>
                <w:b/>
                <w:color w:val="FFFFFF"/>
                <w:sz w:val="15"/>
              </w:rPr>
              <w:t>Decision</w:t>
            </w:r>
          </w:p>
        </w:tc>
        <w:tc>
          <w:tcPr>
            <w:tcW w:type="dxa" w:w="1440"/>
            <w:shd w:fill="162127"/>
            <w:vAlign w:val="center"/>
            <w:tcMar>
              <w:top w:w="115" w:type="dxa"/>
              <w:start w:w="125" w:type="dxa"/>
              <w:bottom w:w="115" w:type="dxa"/>
              <w:end w:w="125" w:type="dxa"/>
            </w:tcMar>
          </w:tcPr>
          <w:p>
            <w:pPr>
              <w:jc w:val="center"/>
            </w:pPr>
            <w:r>
              <w:rPr>
                <w:rFonts w:ascii="Aptos" w:hAnsi="Aptos"/>
                <w:b/>
                <w:color w:val="FFFFFF"/>
                <w:sz w:val="15"/>
              </w:rPr>
              <w:t>Owner</w:t>
            </w:r>
          </w:p>
        </w:tc>
      </w:tr>
      <w:tr>
        <w:trPr>
          <w:cantSplit/>
        </w:trPr>
        <w:tc>
          <w:tcPr>
            <w:tcW w:type="dxa" w:w="1800"/>
            <w:vAlign w:val="center"/>
            <w:tcMar>
              <w:top w:w="105" w:type="dxa"/>
              <w:start w:w="125" w:type="dxa"/>
              <w:bottom w:w="105" w:type="dxa"/>
              <w:end w:w="125" w:type="dxa"/>
            </w:tcMar>
          </w:tcPr>
          <w:p>
            <w:r>
              <w:rPr>
                <w:rFonts w:ascii="Aptos" w:hAnsi="Aptos"/>
                <w:color w:val="20272B"/>
                <w:sz w:val="15"/>
              </w:rPr>
              <w:t>Critical journeys</w:t>
            </w:r>
          </w:p>
        </w:tc>
        <w:tc>
          <w:tcPr>
            <w:tcW w:type="dxa" w:w="180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368"/>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5"/>
              </w:rPr>
              <w:t>No answer cases</w:t>
            </w:r>
          </w:p>
        </w:tc>
        <w:tc>
          <w:tcPr>
            <w:tcW w:type="dxa" w:w="180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368"/>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r>
      <w:tr>
        <w:trPr>
          <w:cantSplit/>
        </w:trPr>
        <w:tc>
          <w:tcPr>
            <w:tcW w:type="dxa" w:w="1800"/>
            <w:vAlign w:val="center"/>
            <w:tcMar>
              <w:top w:w="105" w:type="dxa"/>
              <w:start w:w="125" w:type="dxa"/>
              <w:bottom w:w="105" w:type="dxa"/>
              <w:end w:w="125" w:type="dxa"/>
            </w:tcMar>
          </w:tcPr>
          <w:p>
            <w:r>
              <w:rPr>
                <w:rFonts w:ascii="Aptos" w:hAnsi="Aptos"/>
                <w:color w:val="20272B"/>
                <w:sz w:val="15"/>
              </w:rPr>
              <w:t>Citation required</w:t>
            </w:r>
          </w:p>
        </w:tc>
        <w:tc>
          <w:tcPr>
            <w:tcW w:type="dxa" w:w="180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368"/>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5"/>
              </w:rPr>
              <w:t>Prompt injection</w:t>
            </w:r>
          </w:p>
        </w:tc>
        <w:tc>
          <w:tcPr>
            <w:tcW w:type="dxa" w:w="180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368"/>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r>
      <w:tr>
        <w:trPr>
          <w:cantSplit/>
        </w:trPr>
        <w:tc>
          <w:tcPr>
            <w:tcW w:type="dxa" w:w="1800"/>
            <w:vAlign w:val="center"/>
            <w:tcMar>
              <w:top w:w="105" w:type="dxa"/>
              <w:start w:w="125" w:type="dxa"/>
              <w:bottom w:w="105" w:type="dxa"/>
              <w:end w:w="125" w:type="dxa"/>
            </w:tcMar>
          </w:tcPr>
          <w:p>
            <w:r>
              <w:rPr>
                <w:rFonts w:ascii="Aptos" w:hAnsi="Aptos"/>
                <w:color w:val="20272B"/>
                <w:sz w:val="15"/>
              </w:rPr>
              <w:t>Top user intents</w:t>
            </w:r>
          </w:p>
        </w:tc>
        <w:tc>
          <w:tcPr>
            <w:tcW w:type="dxa" w:w="180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368"/>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5"/>
              </w:rPr>
              <w:t>Rare entities</w:t>
            </w:r>
          </w:p>
        </w:tc>
        <w:tc>
          <w:tcPr>
            <w:tcW w:type="dxa" w:w="180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c>
          <w:tcPr>
            <w:tcW w:type="dxa" w:w="1368"/>
            <w:vAlign w:val="center"/>
            <w:tcMar>
              <w:top w:w="105" w:type="dxa"/>
              <w:start w:w="125" w:type="dxa"/>
              <w:bottom w:w="105" w:type="dxa"/>
              <w:end w:w="125" w:type="dxa"/>
            </w:tcMar>
            <w:shd w:fill="F3F5F6"/>
          </w:tcPr>
          <w:p>
            <w:r>
              <w:rPr>
                <w:rFonts w:ascii="Aptos" w:hAnsi="Aptos"/>
                <w:color w:val="20272B"/>
                <w:sz w:val="15"/>
              </w:rPr>
            </w:r>
          </w:p>
        </w:tc>
        <w:tc>
          <w:tcPr>
            <w:tcW w:type="dxa" w:w="1440"/>
            <w:vAlign w:val="center"/>
            <w:tcMar>
              <w:top w:w="105" w:type="dxa"/>
              <w:start w:w="125" w:type="dxa"/>
              <w:bottom w:w="105" w:type="dxa"/>
              <w:end w:w="125" w:type="dxa"/>
            </w:tcMar>
            <w:shd w:fill="F3F5F6"/>
          </w:tcPr>
          <w:p>
            <w:r>
              <w:rPr>
                <w:rFonts w:ascii="Aptos" w:hAnsi="Aptos"/>
                <w:color w:val="20272B"/>
                <w:sz w:val="15"/>
              </w:rPr>
            </w:r>
          </w:p>
        </w:tc>
      </w:tr>
      <w:tr>
        <w:trPr>
          <w:cantSplit/>
        </w:trPr>
        <w:tc>
          <w:tcPr>
            <w:tcW w:type="dxa" w:w="1800"/>
            <w:vAlign w:val="center"/>
            <w:tcMar>
              <w:top w:w="105" w:type="dxa"/>
              <w:start w:w="125" w:type="dxa"/>
              <w:bottom w:w="105" w:type="dxa"/>
              <w:end w:w="125" w:type="dxa"/>
            </w:tcMar>
          </w:tcPr>
          <w:p>
            <w:r>
              <w:rPr>
                <w:rFonts w:ascii="Aptos" w:hAnsi="Aptos"/>
                <w:color w:val="20272B"/>
                <w:sz w:val="15"/>
              </w:rPr>
              <w:t>Languages or locales</w:t>
            </w:r>
          </w:p>
        </w:tc>
        <w:tc>
          <w:tcPr>
            <w:tcW w:type="dxa" w:w="180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c>
          <w:tcPr>
            <w:tcW w:type="dxa" w:w="1368"/>
            <w:vAlign w:val="center"/>
            <w:tcMar>
              <w:top w:w="105" w:type="dxa"/>
              <w:start w:w="125" w:type="dxa"/>
              <w:bottom w:w="105" w:type="dxa"/>
              <w:end w:w="125" w:type="dxa"/>
            </w:tcMar>
          </w:tcPr>
          <w:p>
            <w:r>
              <w:rPr>
                <w:rFonts w:ascii="Aptos" w:hAnsi="Aptos"/>
                <w:color w:val="20272B"/>
                <w:sz w:val="15"/>
              </w:rPr>
            </w:r>
          </w:p>
        </w:tc>
        <w:tc>
          <w:tcPr>
            <w:tcW w:type="dxa" w:w="1440"/>
            <w:vAlign w:val="center"/>
            <w:tcMar>
              <w:top w:w="105" w:type="dxa"/>
              <w:start w:w="125" w:type="dxa"/>
              <w:bottom w:w="105" w:type="dxa"/>
              <w:end w:w="125" w:type="dxa"/>
            </w:tcMar>
          </w:tcPr>
          <w:p>
            <w:r>
              <w:rPr>
                <w:rFonts w:ascii="Aptos" w:hAnsi="Aptos"/>
                <w:color w:val="20272B"/>
                <w:sz w:val="15"/>
              </w:rPr>
            </w:r>
          </w:p>
        </w:tc>
      </w:tr>
    </w:tbl>
    <w:p>
      <w:pPr>
        <w:pStyle w:val="SmallText"/>
      </w:pPr>
    </w:p>
    <w:p>
      <w:pPr>
        <w:pStyle w:val="SmallText"/>
      </w:pPr>
      <w:r>
        <w:t>Release rule  A critical failure is reviewed individually. It is not averaged away by strong results in low risk cases. Thresholds must be approved by the accountable business and technical owners.</w:t>
      </w:r>
    </w:p>
    <w:p>
      <w:pPr>
        <w:pStyle w:val="Heading2"/>
      </w:pPr>
      <w:r>
        <w:t>Decision rules</w:t>
      </w:r>
    </w:p>
    <w:p>
      <w:pPr>
        <w:pStyle w:val="ListBullet"/>
        <w:spacing w:after="60"/>
      </w:pPr>
      <w:r>
        <w:t>Do not release when a critical zero tolerance condition fails.</w:t>
      </w:r>
    </w:p>
    <w:p>
      <w:pPr>
        <w:pStyle w:val="ListBullet"/>
        <w:spacing w:after="60"/>
      </w:pPr>
      <w:r>
        <w:t>Require additional evidence when the dataset, trace, or human calibration sample is insufficient.</w:t>
      </w:r>
    </w:p>
    <w:p>
      <w:pPr>
        <w:pStyle w:val="ListBullet"/>
        <w:spacing w:after="60"/>
      </w:pPr>
      <w:r>
        <w:t>Release with conditions only when the residual risk, owner, monitoring trigger, and rollback action are explicit.</w:t>
      </w:r>
    </w:p>
    <w:p>
      <w:pPr>
        <w:pStyle w:val="ListBullet"/>
        <w:spacing w:after="60"/>
      </w:pPr>
      <w:r>
        <w:t>Compare the candidate with the approved baseline by the same slices and evaluation method.</w:t>
      </w:r>
    </w:p>
    <w:p>
      <w:pPr>
        <w:pStyle w:val="ListBullet"/>
        <w:spacing w:after="60"/>
      </w:pPr>
      <w:r>
        <w:t>Record accepted risk as a named decision with an accountable owner and review date.</w:t>
      </w:r>
    </w:p>
    <w:p>
      <w:pPr>
        <w:pStyle w:val="Heading1"/>
      </w:pPr>
      <w:r>
        <w:t>Defect and evidence template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3240"/>
            <w:shd w:fill="162127"/>
            <w:vAlign w:val="center"/>
            <w:tcMar>
              <w:top w:w="115" w:type="dxa"/>
              <w:start w:w="125" w:type="dxa"/>
              <w:bottom w:w="115" w:type="dxa"/>
              <w:end w:w="125" w:type="dxa"/>
            </w:tcMar>
          </w:tcPr>
          <w:p>
            <w:pPr>
              <w:jc w:val="center"/>
            </w:pPr>
            <w:r>
              <w:rPr>
                <w:rFonts w:ascii="Aptos" w:hAnsi="Aptos"/>
                <w:b/>
                <w:color w:val="FFFFFF"/>
                <w:sz w:val="17"/>
              </w:rPr>
              <w:t>Field</w:t>
            </w:r>
          </w:p>
        </w:tc>
        <w:tc>
          <w:tcPr>
            <w:tcW w:type="dxa" w:w="6264"/>
            <w:shd w:fill="162127"/>
            <w:vAlign w:val="center"/>
            <w:tcMar>
              <w:top w:w="115" w:type="dxa"/>
              <w:start w:w="125" w:type="dxa"/>
              <w:bottom w:w="115" w:type="dxa"/>
              <w:end w:w="125" w:type="dxa"/>
            </w:tcMar>
          </w:tcPr>
          <w:p>
            <w:pPr>
              <w:jc w:val="center"/>
            </w:pPr>
            <w:r>
              <w:rPr>
                <w:rFonts w:ascii="Aptos" w:hAnsi="Aptos"/>
                <w:b/>
                <w:color w:val="FFFFFF"/>
                <w:sz w:val="17"/>
              </w:rPr>
              <w:t>Record</w:t>
            </w:r>
          </w:p>
        </w:tc>
      </w:tr>
      <w:tr>
        <w:trPr>
          <w:cantSplit/>
        </w:trPr>
        <w:tc>
          <w:tcPr>
            <w:tcW w:type="dxa" w:w="3240"/>
            <w:vAlign w:val="center"/>
            <w:tcMar>
              <w:top w:w="105" w:type="dxa"/>
              <w:start w:w="125" w:type="dxa"/>
              <w:bottom w:w="105" w:type="dxa"/>
              <w:end w:w="125" w:type="dxa"/>
            </w:tcMar>
          </w:tcPr>
          <w:p>
            <w:r>
              <w:rPr>
                <w:rFonts w:ascii="Aptos" w:hAnsi="Aptos"/>
                <w:color w:val="20272B"/>
                <w:sz w:val="17"/>
              </w:rPr>
              <w:t>Finding title</w:t>
            </w:r>
          </w:p>
        </w:tc>
        <w:tc>
          <w:tcPr>
            <w:tcW w:type="dxa" w:w="6264"/>
            <w:vAlign w:val="center"/>
            <w:tcMar>
              <w:top w:w="105" w:type="dxa"/>
              <w:start w:w="125" w:type="dxa"/>
              <w:bottom w:w="105" w:type="dxa"/>
              <w:end w:w="125" w:type="dxa"/>
            </w:tcMar>
          </w:tcPr>
          <w:p>
            <w:r>
              <w:rPr>
                <w:rFonts w:ascii="Aptos" w:hAnsi="Aptos"/>
                <w:color w:val="20272B"/>
                <w:sz w:val="17"/>
              </w:rPr>
              <w:t>Observable failure and affected behavior</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Test ID and run ID</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Requirement or risk</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Environment and timestamp</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Model and version</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Prompt and conversation context</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System prompt or policy version</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Retrieved evidence and ranking</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Actual response and citations</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Expected behavior</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Atomic claim labels</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Failure layer</w:t>
            </w:r>
          </w:p>
        </w:tc>
        <w:tc>
          <w:tcPr>
            <w:tcW w:type="dxa" w:w="6264"/>
            <w:vAlign w:val="center"/>
            <w:tcMar>
              <w:top w:w="105" w:type="dxa"/>
              <w:start w:w="125" w:type="dxa"/>
              <w:bottom w:w="105" w:type="dxa"/>
              <w:end w:w="125" w:type="dxa"/>
            </w:tcMar>
            <w:shd w:fill="F3F5F6"/>
          </w:tcPr>
          <w:p>
            <w:r>
              <w:rPr>
                <w:rFonts w:ascii="Aptos" w:hAnsi="Aptos"/>
                <w:color w:val="20272B"/>
                <w:sz w:val="17"/>
              </w:rPr>
              <w:t>Source / ingestion / retrieval / generation / citation / policy / tool</w:t>
            </w:r>
          </w:p>
        </w:tc>
      </w:tr>
      <w:tr>
        <w:trPr>
          <w:cantSplit/>
        </w:trPr>
        <w:tc>
          <w:tcPr>
            <w:tcW w:type="dxa" w:w="3240"/>
            <w:vAlign w:val="center"/>
            <w:tcMar>
              <w:top w:w="105" w:type="dxa"/>
              <w:start w:w="125" w:type="dxa"/>
              <w:bottom w:w="105" w:type="dxa"/>
              <w:end w:w="125" w:type="dxa"/>
            </w:tcMar>
          </w:tcPr>
          <w:p>
            <w:r>
              <w:rPr>
                <w:rFonts w:ascii="Aptos" w:hAnsi="Aptos"/>
                <w:color w:val="20272B"/>
                <w:sz w:val="17"/>
              </w:rPr>
              <w:t>Severity and business impact</w:t>
            </w:r>
          </w:p>
        </w:tc>
        <w:tc>
          <w:tcPr>
            <w:tcW w:type="dxa" w:w="6264"/>
            <w:vAlign w:val="center"/>
            <w:tcMar>
              <w:top w:w="105" w:type="dxa"/>
              <w:start w:w="125" w:type="dxa"/>
              <w:bottom w:w="105" w:type="dxa"/>
              <w:end w:w="125" w:type="dxa"/>
            </w:tcMar>
          </w:tcPr>
          <w:p>
            <w:r>
              <w:rPr>
                <w:rFonts w:ascii="Aptos" w:hAnsi="Aptos"/>
                <w:color w:val="20272B"/>
                <w:sz w:val="17"/>
              </w:rPr>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Reproducibility</w:t>
            </w:r>
          </w:p>
        </w:tc>
        <w:tc>
          <w:tcPr>
            <w:tcW w:type="dxa" w:w="6264"/>
            <w:vAlign w:val="center"/>
            <w:tcMar>
              <w:top w:w="105" w:type="dxa"/>
              <w:start w:w="125" w:type="dxa"/>
              <w:bottom w:w="105" w:type="dxa"/>
              <w:end w:w="125" w:type="dxa"/>
            </w:tcMar>
            <w:shd w:fill="F3F5F6"/>
          </w:tcPr>
          <w:p>
            <w:r>
              <w:rPr>
                <w:rFonts w:ascii="Aptos" w:hAnsi="Aptos"/>
                <w:color w:val="20272B"/>
                <w:sz w:val="17"/>
              </w:rPr>
              <w:t>Run count, failure count, paraphrase result</w:t>
            </w:r>
          </w:p>
        </w:tc>
      </w:tr>
      <w:tr>
        <w:trPr>
          <w:cantSplit/>
        </w:trPr>
        <w:tc>
          <w:tcPr>
            <w:tcW w:type="dxa" w:w="3240"/>
            <w:vAlign w:val="center"/>
            <w:tcMar>
              <w:top w:w="105" w:type="dxa"/>
              <w:start w:w="125" w:type="dxa"/>
              <w:bottom w:w="105" w:type="dxa"/>
              <w:end w:w="125" w:type="dxa"/>
            </w:tcMar>
          </w:tcPr>
          <w:p>
            <w:r>
              <w:rPr>
                <w:rFonts w:ascii="Aptos" w:hAnsi="Aptos"/>
                <w:color w:val="20272B"/>
                <w:sz w:val="17"/>
              </w:rPr>
              <w:t>Attachments</w:t>
            </w:r>
          </w:p>
        </w:tc>
        <w:tc>
          <w:tcPr>
            <w:tcW w:type="dxa" w:w="6264"/>
            <w:vAlign w:val="center"/>
            <w:tcMar>
              <w:top w:w="105" w:type="dxa"/>
              <w:start w:w="125" w:type="dxa"/>
              <w:bottom w:w="105" w:type="dxa"/>
              <w:end w:w="125" w:type="dxa"/>
            </w:tcMar>
          </w:tcPr>
          <w:p>
            <w:r>
              <w:rPr>
                <w:rFonts w:ascii="Aptos" w:hAnsi="Aptos"/>
                <w:color w:val="20272B"/>
                <w:sz w:val="17"/>
              </w:rPr>
              <w:t>Screenshots, traces, logs, evaluation output</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Owner and next action</w:t>
            </w:r>
          </w:p>
        </w:tc>
        <w:tc>
          <w:tcPr>
            <w:tcW w:type="dxa" w:w="6264"/>
            <w:vAlign w:val="center"/>
            <w:tcMar>
              <w:top w:w="105" w:type="dxa"/>
              <w:start w:w="125" w:type="dxa"/>
              <w:bottom w:w="105" w:type="dxa"/>
              <w:end w:w="125" w:type="dxa"/>
            </w:tcMar>
            <w:shd w:fill="F3F5F6"/>
          </w:tcPr>
          <w:p>
            <w:r>
              <w:rPr>
                <w:rFonts w:ascii="Aptos" w:hAnsi="Aptos"/>
                <w:color w:val="20272B"/>
                <w:sz w:val="17"/>
              </w:rPr>
            </w:r>
          </w:p>
        </w:tc>
      </w:tr>
      <w:tr>
        <w:trPr>
          <w:cantSplit/>
        </w:trPr>
        <w:tc>
          <w:tcPr>
            <w:tcW w:type="dxa" w:w="3240"/>
            <w:vAlign w:val="center"/>
            <w:tcMar>
              <w:top w:w="105" w:type="dxa"/>
              <w:start w:w="125" w:type="dxa"/>
              <w:bottom w:w="105" w:type="dxa"/>
              <w:end w:w="125" w:type="dxa"/>
            </w:tcMar>
          </w:tcPr>
          <w:p>
            <w:r>
              <w:rPr>
                <w:rFonts w:ascii="Aptos" w:hAnsi="Aptos"/>
                <w:color w:val="20272B"/>
                <w:sz w:val="17"/>
              </w:rPr>
              <w:t>Retest evidence</w:t>
            </w:r>
          </w:p>
        </w:tc>
        <w:tc>
          <w:tcPr>
            <w:tcW w:type="dxa" w:w="6264"/>
            <w:vAlign w:val="center"/>
            <w:tcMar>
              <w:top w:w="105" w:type="dxa"/>
              <w:start w:w="125" w:type="dxa"/>
              <w:bottom w:w="105" w:type="dxa"/>
              <w:end w:w="125" w:type="dxa"/>
            </w:tcMar>
          </w:tcPr>
          <w:p>
            <w:r>
              <w:rPr>
                <w:rFonts w:ascii="Aptos" w:hAnsi="Aptos"/>
                <w:color w:val="20272B"/>
                <w:sz w:val="17"/>
              </w:rPr>
            </w:r>
          </w:p>
        </w:tc>
      </w:tr>
    </w:tbl>
    <w:p>
      <w:pPr>
        <w:pStyle w:val="SmallText"/>
      </w:pPr>
    </w:p>
    <w:p>
      <w:pPr>
        <w:pStyle w:val="Heading2"/>
      </w:pPr>
      <w:r>
        <w:t>Root cause language</w:t>
      </w:r>
    </w:p>
    <w:p>
      <w:r>
        <w:t>Use the strongest term supported by the evidence. Do not label a model response as the root cause when the trace has not separated source, retrieval, generation, citation, policy, and tool behavior.</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800"/>
            <w:shd w:fill="162127"/>
            <w:vAlign w:val="center"/>
            <w:tcMar>
              <w:top w:w="115" w:type="dxa"/>
              <w:start w:w="125" w:type="dxa"/>
              <w:bottom w:w="115" w:type="dxa"/>
              <w:end w:w="125" w:type="dxa"/>
            </w:tcMar>
          </w:tcPr>
          <w:p>
            <w:pPr>
              <w:jc w:val="center"/>
            </w:pPr>
            <w:r>
              <w:rPr>
                <w:rFonts w:ascii="Aptos" w:hAnsi="Aptos"/>
                <w:b/>
                <w:color w:val="FFFFFF"/>
                <w:sz w:val="16"/>
              </w:rPr>
              <w:t>Term</w:t>
            </w:r>
          </w:p>
        </w:tc>
        <w:tc>
          <w:tcPr>
            <w:tcW w:type="dxa" w:w="3816"/>
            <w:shd w:fill="162127"/>
            <w:vAlign w:val="center"/>
            <w:tcMar>
              <w:top w:w="115" w:type="dxa"/>
              <w:start w:w="125" w:type="dxa"/>
              <w:bottom w:w="115" w:type="dxa"/>
              <w:end w:w="125" w:type="dxa"/>
            </w:tcMar>
          </w:tcPr>
          <w:p>
            <w:pPr>
              <w:jc w:val="center"/>
            </w:pPr>
            <w:r>
              <w:rPr>
                <w:rFonts w:ascii="Aptos" w:hAnsi="Aptos"/>
                <w:b/>
                <w:color w:val="FFFFFF"/>
                <w:sz w:val="16"/>
              </w:rPr>
              <w:t>Use when</w:t>
            </w:r>
          </w:p>
        </w:tc>
        <w:tc>
          <w:tcPr>
            <w:tcW w:type="dxa" w:w="3672"/>
            <w:shd w:fill="162127"/>
            <w:vAlign w:val="center"/>
            <w:tcMar>
              <w:top w:w="115" w:type="dxa"/>
              <w:start w:w="125" w:type="dxa"/>
              <w:bottom w:w="115" w:type="dxa"/>
              <w:end w:w="125" w:type="dxa"/>
            </w:tcMar>
          </w:tcPr>
          <w:p>
            <w:pPr>
              <w:jc w:val="center"/>
            </w:pPr>
            <w:r>
              <w:rPr>
                <w:rFonts w:ascii="Aptos" w:hAnsi="Aptos"/>
                <w:b/>
                <w:color w:val="FFFFFF"/>
                <w:sz w:val="16"/>
              </w:rPr>
              <w:t>Required evidence</w:t>
            </w:r>
          </w:p>
        </w:tc>
      </w:tr>
      <w:tr>
        <w:trPr>
          <w:cantSplit/>
        </w:trPr>
        <w:tc>
          <w:tcPr>
            <w:tcW w:type="dxa" w:w="1800"/>
            <w:vAlign w:val="center"/>
            <w:tcMar>
              <w:top w:w="105" w:type="dxa"/>
              <w:start w:w="125" w:type="dxa"/>
              <w:bottom w:w="105" w:type="dxa"/>
              <w:end w:w="125" w:type="dxa"/>
            </w:tcMar>
          </w:tcPr>
          <w:p>
            <w:r>
              <w:rPr>
                <w:rFonts w:ascii="Aptos" w:hAnsi="Aptos"/>
                <w:color w:val="20272B"/>
                <w:sz w:val="16"/>
              </w:rPr>
              <w:t>Observed failure</w:t>
            </w:r>
          </w:p>
        </w:tc>
        <w:tc>
          <w:tcPr>
            <w:tcW w:type="dxa" w:w="3816"/>
            <w:vAlign w:val="center"/>
            <w:tcMar>
              <w:top w:w="105" w:type="dxa"/>
              <w:start w:w="125" w:type="dxa"/>
              <w:bottom w:w="105" w:type="dxa"/>
              <w:end w:w="125" w:type="dxa"/>
            </w:tcMar>
          </w:tcPr>
          <w:p>
            <w:r>
              <w:rPr>
                <w:rFonts w:ascii="Aptos" w:hAnsi="Aptos"/>
                <w:color w:val="20272B"/>
                <w:sz w:val="16"/>
              </w:rPr>
              <w:t>The test shows a requirement was not met</w:t>
            </w:r>
          </w:p>
        </w:tc>
        <w:tc>
          <w:tcPr>
            <w:tcW w:type="dxa" w:w="3672"/>
            <w:vAlign w:val="center"/>
            <w:tcMar>
              <w:top w:w="105" w:type="dxa"/>
              <w:start w:w="125" w:type="dxa"/>
              <w:bottom w:w="105" w:type="dxa"/>
              <w:end w:w="125" w:type="dxa"/>
            </w:tcMar>
          </w:tcPr>
          <w:p>
            <w:r>
              <w:rPr>
                <w:rFonts w:ascii="Aptos" w:hAnsi="Aptos"/>
                <w:color w:val="20272B"/>
                <w:sz w:val="16"/>
              </w:rPr>
              <w:t>Prompt, output, requirement, configuration, and reproducible observation</w:t>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6"/>
              </w:rPr>
              <w:t>Probable cause</w:t>
            </w:r>
          </w:p>
        </w:tc>
        <w:tc>
          <w:tcPr>
            <w:tcW w:type="dxa" w:w="3816"/>
            <w:vAlign w:val="center"/>
            <w:tcMar>
              <w:top w:w="105" w:type="dxa"/>
              <w:start w:w="125" w:type="dxa"/>
              <w:bottom w:w="105" w:type="dxa"/>
              <w:end w:w="125" w:type="dxa"/>
            </w:tcMar>
            <w:shd w:fill="F3F5F6"/>
          </w:tcPr>
          <w:p>
            <w:r>
              <w:rPr>
                <w:rFonts w:ascii="Aptos" w:hAnsi="Aptos"/>
                <w:color w:val="20272B"/>
                <w:sz w:val="16"/>
              </w:rPr>
              <w:t>One explanation is better supported than alternatives</w:t>
            </w:r>
          </w:p>
        </w:tc>
        <w:tc>
          <w:tcPr>
            <w:tcW w:type="dxa" w:w="3672"/>
            <w:vAlign w:val="center"/>
            <w:tcMar>
              <w:top w:w="105" w:type="dxa"/>
              <w:start w:w="125" w:type="dxa"/>
              <w:bottom w:w="105" w:type="dxa"/>
              <w:end w:w="125" w:type="dxa"/>
            </w:tcMar>
            <w:shd w:fill="F3F5F6"/>
          </w:tcPr>
          <w:p>
            <w:r>
              <w:rPr>
                <w:rFonts w:ascii="Aptos" w:hAnsi="Aptos"/>
                <w:color w:val="20272B"/>
                <w:sz w:val="16"/>
              </w:rPr>
              <w:t>Trace evidence, ruled out alternatives, confidence, and next confirmation step</w:t>
            </w:r>
          </w:p>
        </w:tc>
      </w:tr>
      <w:tr>
        <w:trPr>
          <w:cantSplit/>
        </w:trPr>
        <w:tc>
          <w:tcPr>
            <w:tcW w:type="dxa" w:w="1800"/>
            <w:vAlign w:val="center"/>
            <w:tcMar>
              <w:top w:w="105" w:type="dxa"/>
              <w:start w:w="125" w:type="dxa"/>
              <w:bottom w:w="105" w:type="dxa"/>
              <w:end w:w="125" w:type="dxa"/>
            </w:tcMar>
          </w:tcPr>
          <w:p>
            <w:r>
              <w:rPr>
                <w:rFonts w:ascii="Aptos" w:hAnsi="Aptos"/>
                <w:color w:val="20272B"/>
                <w:sz w:val="16"/>
              </w:rPr>
              <w:t>Confirmed root cause</w:t>
            </w:r>
          </w:p>
        </w:tc>
        <w:tc>
          <w:tcPr>
            <w:tcW w:type="dxa" w:w="3816"/>
            <w:vAlign w:val="center"/>
            <w:tcMar>
              <w:top w:w="105" w:type="dxa"/>
              <w:start w:w="125" w:type="dxa"/>
              <w:bottom w:w="105" w:type="dxa"/>
              <w:end w:w="125" w:type="dxa"/>
            </w:tcMar>
          </w:tcPr>
          <w:p>
            <w:r>
              <w:rPr>
                <w:rFonts w:ascii="Aptos" w:hAnsi="Aptos"/>
                <w:color w:val="20272B"/>
                <w:sz w:val="16"/>
              </w:rPr>
              <w:t>The responsible owner verifies the causal mechanism</w:t>
            </w:r>
          </w:p>
        </w:tc>
        <w:tc>
          <w:tcPr>
            <w:tcW w:type="dxa" w:w="3672"/>
            <w:vAlign w:val="center"/>
            <w:tcMar>
              <w:top w:w="105" w:type="dxa"/>
              <w:start w:w="125" w:type="dxa"/>
              <w:bottom w:w="105" w:type="dxa"/>
              <w:end w:w="125" w:type="dxa"/>
            </w:tcMar>
          </w:tcPr>
          <w:p>
            <w:r>
              <w:rPr>
                <w:rFonts w:ascii="Aptos" w:hAnsi="Aptos"/>
                <w:color w:val="20272B"/>
                <w:sz w:val="16"/>
              </w:rPr>
              <w:t>Component level evidence and a corrective change that resolves the failure</w:t>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6"/>
              </w:rPr>
              <w:t>Corrective action</w:t>
            </w:r>
          </w:p>
        </w:tc>
        <w:tc>
          <w:tcPr>
            <w:tcW w:type="dxa" w:w="3816"/>
            <w:vAlign w:val="center"/>
            <w:tcMar>
              <w:top w:w="105" w:type="dxa"/>
              <w:start w:w="125" w:type="dxa"/>
              <w:bottom w:w="105" w:type="dxa"/>
              <w:end w:w="125" w:type="dxa"/>
            </w:tcMar>
            <w:shd w:fill="F3F5F6"/>
          </w:tcPr>
          <w:p>
            <w:r>
              <w:rPr>
                <w:rFonts w:ascii="Aptos" w:hAnsi="Aptos"/>
                <w:color w:val="20272B"/>
                <w:sz w:val="16"/>
              </w:rPr>
              <w:t>A change addresses the current failure</w:t>
            </w:r>
          </w:p>
        </w:tc>
        <w:tc>
          <w:tcPr>
            <w:tcW w:type="dxa" w:w="3672"/>
            <w:vAlign w:val="center"/>
            <w:tcMar>
              <w:top w:w="105" w:type="dxa"/>
              <w:start w:w="125" w:type="dxa"/>
              <w:bottom w:w="105" w:type="dxa"/>
              <w:end w:w="125" w:type="dxa"/>
            </w:tcMar>
            <w:shd w:fill="F3F5F6"/>
          </w:tcPr>
          <w:p>
            <w:r>
              <w:rPr>
                <w:rFonts w:ascii="Aptos" w:hAnsi="Aptos"/>
                <w:color w:val="20272B"/>
                <w:sz w:val="16"/>
              </w:rPr>
              <w:t>Owner, implementation, retest scope, and result</w:t>
            </w:r>
          </w:p>
        </w:tc>
      </w:tr>
      <w:tr>
        <w:trPr>
          <w:cantSplit/>
        </w:trPr>
        <w:tc>
          <w:tcPr>
            <w:tcW w:type="dxa" w:w="1800"/>
            <w:vAlign w:val="center"/>
            <w:tcMar>
              <w:top w:w="105" w:type="dxa"/>
              <w:start w:w="125" w:type="dxa"/>
              <w:bottom w:w="105" w:type="dxa"/>
              <w:end w:w="125" w:type="dxa"/>
            </w:tcMar>
          </w:tcPr>
          <w:p>
            <w:r>
              <w:rPr>
                <w:rFonts w:ascii="Aptos" w:hAnsi="Aptos"/>
                <w:color w:val="20272B"/>
                <w:sz w:val="16"/>
              </w:rPr>
              <w:t>Preventive control</w:t>
            </w:r>
          </w:p>
        </w:tc>
        <w:tc>
          <w:tcPr>
            <w:tcW w:type="dxa" w:w="3816"/>
            <w:vAlign w:val="center"/>
            <w:tcMar>
              <w:top w:w="105" w:type="dxa"/>
              <w:start w:w="125" w:type="dxa"/>
              <w:bottom w:w="105" w:type="dxa"/>
              <w:end w:w="125" w:type="dxa"/>
            </w:tcMar>
          </w:tcPr>
          <w:p>
            <w:r>
              <w:rPr>
                <w:rFonts w:ascii="Aptos" w:hAnsi="Aptos"/>
                <w:color w:val="20272B"/>
                <w:sz w:val="16"/>
              </w:rPr>
              <w:t>A control reduces recurrence or detection time</w:t>
            </w:r>
          </w:p>
        </w:tc>
        <w:tc>
          <w:tcPr>
            <w:tcW w:type="dxa" w:w="3672"/>
            <w:vAlign w:val="center"/>
            <w:tcMar>
              <w:top w:w="105" w:type="dxa"/>
              <w:start w:w="125" w:type="dxa"/>
              <w:bottom w:w="105" w:type="dxa"/>
              <w:end w:w="125" w:type="dxa"/>
            </w:tcMar>
          </w:tcPr>
          <w:p>
            <w:r>
              <w:rPr>
                <w:rFonts w:ascii="Aptos" w:hAnsi="Aptos"/>
                <w:color w:val="20272B"/>
                <w:sz w:val="16"/>
              </w:rPr>
              <w:t>New test, monitoring rule, gate, or process change with an owner</w:t>
            </w:r>
          </w:p>
        </w:tc>
      </w:tr>
      <w:tr>
        <w:trPr>
          <w:cantSplit/>
        </w:trPr>
        <w:tc>
          <w:tcPr>
            <w:tcW w:type="dxa" w:w="1800"/>
            <w:vAlign w:val="center"/>
            <w:tcMar>
              <w:top w:w="105" w:type="dxa"/>
              <w:start w:w="125" w:type="dxa"/>
              <w:bottom w:w="105" w:type="dxa"/>
              <w:end w:w="125" w:type="dxa"/>
            </w:tcMar>
            <w:shd w:fill="F3F5F6"/>
          </w:tcPr>
          <w:p>
            <w:r>
              <w:rPr>
                <w:rFonts w:ascii="Aptos" w:hAnsi="Aptos"/>
                <w:color w:val="20272B"/>
                <w:sz w:val="16"/>
              </w:rPr>
              <w:t>Residual risk</w:t>
            </w:r>
          </w:p>
        </w:tc>
        <w:tc>
          <w:tcPr>
            <w:tcW w:type="dxa" w:w="3816"/>
            <w:vAlign w:val="center"/>
            <w:tcMar>
              <w:top w:w="105" w:type="dxa"/>
              <w:start w:w="125" w:type="dxa"/>
              <w:bottom w:w="105" w:type="dxa"/>
              <w:end w:w="125" w:type="dxa"/>
            </w:tcMar>
            <w:shd w:fill="F3F5F6"/>
          </w:tcPr>
          <w:p>
            <w:r>
              <w:rPr>
                <w:rFonts w:ascii="Aptos" w:hAnsi="Aptos"/>
                <w:color w:val="20272B"/>
                <w:sz w:val="16"/>
              </w:rPr>
              <w:t>Risk remains after the chosen treatment</w:t>
            </w:r>
          </w:p>
        </w:tc>
        <w:tc>
          <w:tcPr>
            <w:tcW w:type="dxa" w:w="3672"/>
            <w:vAlign w:val="center"/>
            <w:tcMar>
              <w:top w:w="105" w:type="dxa"/>
              <w:start w:w="125" w:type="dxa"/>
              <w:bottom w:w="105" w:type="dxa"/>
              <w:end w:w="125" w:type="dxa"/>
            </w:tcMar>
            <w:shd w:fill="F3F5F6"/>
          </w:tcPr>
          <w:p>
            <w:r>
              <w:rPr>
                <w:rFonts w:ascii="Aptos" w:hAnsi="Aptos"/>
                <w:color w:val="20272B"/>
                <w:sz w:val="16"/>
              </w:rPr>
              <w:t>Likelihood, impact, affected slice, acceptance owner, and review date</w:t>
            </w:r>
          </w:p>
        </w:tc>
      </w:tr>
    </w:tbl>
    <w:p>
      <w:pPr>
        <w:pStyle w:val="SmallText"/>
      </w:pPr>
    </w:p>
    <w:p>
      <w:pPr>
        <w:pStyle w:val="Heading1"/>
      </w:pPr>
      <w:r>
        <w:t>Test summary template</w:t>
      </w:r>
    </w:p>
    <w:p>
      <w:r>
        <w:t>Use this structure for a release or model comparison. Keep the decision visible and link every conclusion to retained evidence.</w:t>
      </w:r>
    </w:p>
    <w:p>
      <w:pPr>
        <w:pStyle w:val="Heading2"/>
      </w:pPr>
      <w:r>
        <w:t>Decision</w:t>
      </w:r>
    </w:p>
    <w:p>
      <w:r>
        <w:t>Release / Release with conditions / Do not release / Additional evidence required</w:t>
      </w:r>
    </w:p>
    <w:p>
      <w:pPr>
        <w:pStyle w:val="Heading2"/>
      </w:pPr>
      <w:r>
        <w:t>Scope</w:t>
      </w:r>
    </w:p>
    <w:p>
      <w:r>
        <w:t>Capabilities, journeys, risk tiers, models, prompts, data, languages, tools, and exclusions</w:t>
      </w:r>
    </w:p>
    <w:p>
      <w:pPr>
        <w:pStyle w:val="Heading2"/>
      </w:pPr>
      <w:r>
        <w:t>Configuration</w:t>
      </w:r>
    </w:p>
    <w:p>
      <w:r>
        <w:t>Model versions, system prompt, retrieval configuration, temperature, policies, and evaluation versions</w:t>
      </w:r>
    </w:p>
    <w:p>
      <w:pPr>
        <w:pStyle w:val="Heading2"/>
      </w:pPr>
      <w:r>
        <w:t>Dataset</w:t>
      </w:r>
    </w:p>
    <w:p>
      <w:r>
        <w:t>Case count, source, coverage, sampling method, high risk slices, and known limitations</w:t>
      </w:r>
    </w:p>
    <w:p>
      <w:pPr>
        <w:pStyle w:val="Heading2"/>
      </w:pPr>
      <w:r>
        <w:t>Results</w:t>
      </w:r>
    </w:p>
    <w:p>
      <w:r>
        <w:t>Pass rates and critical metrics by slice, including denominators and confidence limits where applicable</w:t>
      </w:r>
    </w:p>
    <w:p>
      <w:pPr>
        <w:pStyle w:val="Heading2"/>
      </w:pPr>
      <w:r>
        <w:t>Material findings</w:t>
      </w:r>
    </w:p>
    <w:p>
      <w:r>
        <w:t>Critical and high severity failures, affected users, evidence, owners, and status</w:t>
      </w:r>
    </w:p>
    <w:p>
      <w:pPr>
        <w:pStyle w:val="Heading2"/>
      </w:pPr>
      <w:r>
        <w:t>Evaluator validation</w:t>
      </w:r>
    </w:p>
    <w:p>
      <w:r>
        <w:t>Human sample size, agreement, disagreement patterns, bias tests, and escalation rate</w:t>
      </w:r>
    </w:p>
    <w:p>
      <w:pPr>
        <w:pStyle w:val="Heading2"/>
      </w:pPr>
      <w:r>
        <w:t>Residual risk</w:t>
      </w:r>
    </w:p>
    <w:p>
      <w:r>
        <w:t>Known limitations, monitoring triggers, rollback conditions, and business acceptance</w:t>
      </w:r>
    </w:p>
    <w:p>
      <w:pPr>
        <w:pStyle w:val="Heading2"/>
      </w:pPr>
      <w:r>
        <w:t>Approvals</w:t>
      </w:r>
    </w:p>
    <w:p>
      <w:r>
        <w:t>Accountable business, engineering, quality, security, privacy, and domain reviewers as applicable</w:t>
      </w:r>
    </w:p>
    <w:p>
      <w:pPr>
        <w:pStyle w:val="Heading1"/>
      </w:pPr>
      <w:r>
        <w:t>Worked example</w:t>
      </w:r>
    </w:p>
    <w:p>
      <w:r>
        <w:t>Scenario  An internal policy assistant must answer only from the current approved leave policy. The approved source states that eligible employees receive 15 paid leave days. The assistant replies that every employee receives 20 days and cites the policy home page.</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512"/>
            <w:shd w:fill="162127"/>
            <w:vAlign w:val="center"/>
            <w:tcMar>
              <w:top w:w="115" w:type="dxa"/>
              <w:start w:w="125" w:type="dxa"/>
              <w:bottom w:w="115" w:type="dxa"/>
              <w:end w:w="125" w:type="dxa"/>
            </w:tcMar>
          </w:tcPr>
          <w:p>
            <w:pPr>
              <w:jc w:val="center"/>
            </w:pPr>
            <w:r>
              <w:rPr>
                <w:rFonts w:ascii="Aptos" w:hAnsi="Aptos"/>
                <w:b/>
                <w:color w:val="FFFFFF"/>
                <w:sz w:val="16"/>
              </w:rPr>
              <w:t>TRACE stage</w:t>
            </w:r>
          </w:p>
        </w:tc>
        <w:tc>
          <w:tcPr>
            <w:tcW w:type="dxa" w:w="5112"/>
            <w:shd w:fill="162127"/>
            <w:vAlign w:val="center"/>
            <w:tcMar>
              <w:top w:w="115" w:type="dxa"/>
              <w:start w:w="125" w:type="dxa"/>
              <w:bottom w:w="115" w:type="dxa"/>
              <w:end w:w="125" w:type="dxa"/>
            </w:tcMar>
          </w:tcPr>
          <w:p>
            <w:pPr>
              <w:jc w:val="center"/>
            </w:pPr>
            <w:r>
              <w:rPr>
                <w:rFonts w:ascii="Aptos" w:hAnsi="Aptos"/>
                <w:b/>
                <w:color w:val="FFFFFF"/>
                <w:sz w:val="16"/>
              </w:rPr>
              <w:t>Finding</w:t>
            </w:r>
          </w:p>
        </w:tc>
        <w:tc>
          <w:tcPr>
            <w:tcW w:type="dxa" w:w="2664"/>
            <w:shd w:fill="162127"/>
            <w:vAlign w:val="center"/>
            <w:tcMar>
              <w:top w:w="115" w:type="dxa"/>
              <w:start w:w="125" w:type="dxa"/>
              <w:bottom w:w="115" w:type="dxa"/>
              <w:end w:w="125" w:type="dxa"/>
            </w:tcMar>
          </w:tcPr>
          <w:p>
            <w:pPr>
              <w:jc w:val="center"/>
            </w:pPr>
            <w:r>
              <w:rPr>
                <w:rFonts w:ascii="Aptos" w:hAnsi="Aptos"/>
                <w:b/>
                <w:color w:val="FFFFFF"/>
                <w:sz w:val="16"/>
              </w:rPr>
              <w:t>Decision</w:t>
            </w:r>
          </w:p>
        </w:tc>
      </w:tr>
      <w:tr>
        <w:trPr>
          <w:cantSplit/>
        </w:trPr>
        <w:tc>
          <w:tcPr>
            <w:tcW w:type="dxa" w:w="1512"/>
            <w:vAlign w:val="center"/>
            <w:tcMar>
              <w:top w:w="105" w:type="dxa"/>
              <w:start w:w="125" w:type="dxa"/>
              <w:bottom w:w="105" w:type="dxa"/>
              <w:end w:w="125" w:type="dxa"/>
            </w:tcMar>
          </w:tcPr>
          <w:p>
            <w:r>
              <w:rPr>
                <w:rFonts w:ascii="Aptos" w:hAnsi="Aptos"/>
                <w:color w:val="20272B"/>
                <w:sz w:val="16"/>
              </w:rPr>
              <w:t>Test</w:t>
            </w:r>
          </w:p>
        </w:tc>
        <w:tc>
          <w:tcPr>
            <w:tcW w:type="dxa" w:w="5112"/>
            <w:vAlign w:val="center"/>
            <w:tcMar>
              <w:top w:w="105" w:type="dxa"/>
              <w:start w:w="125" w:type="dxa"/>
              <w:bottom w:w="105" w:type="dxa"/>
              <w:end w:w="125" w:type="dxa"/>
            </w:tcMar>
          </w:tcPr>
          <w:p>
            <w:r>
              <w:rPr>
                <w:rFonts w:ascii="Aptos" w:hAnsi="Aptos"/>
                <w:color w:val="20272B"/>
                <w:sz w:val="16"/>
              </w:rPr>
              <w:t>High impact numeric policy claim with citation required</w:t>
            </w:r>
          </w:p>
        </w:tc>
        <w:tc>
          <w:tcPr>
            <w:tcW w:type="dxa" w:w="2664"/>
            <w:vAlign w:val="center"/>
            <w:tcMar>
              <w:top w:w="105" w:type="dxa"/>
              <w:start w:w="125" w:type="dxa"/>
              <w:bottom w:w="105" w:type="dxa"/>
              <w:end w:w="125" w:type="dxa"/>
            </w:tcMar>
          </w:tcPr>
          <w:p>
            <w:r>
              <w:rPr>
                <w:rFonts w:ascii="Aptos" w:hAnsi="Aptos"/>
                <w:color w:val="20272B"/>
                <w:sz w:val="16"/>
              </w:rPr>
              <w:t>Apply high risk criteria</w:t>
            </w:r>
          </w:p>
        </w:tc>
      </w:tr>
      <w:tr>
        <w:trPr>
          <w:cantSplit/>
        </w:trPr>
        <w:tc>
          <w:tcPr>
            <w:tcW w:type="dxa" w:w="1512"/>
            <w:vAlign w:val="center"/>
            <w:tcMar>
              <w:top w:w="105" w:type="dxa"/>
              <w:start w:w="125" w:type="dxa"/>
              <w:bottom w:w="105" w:type="dxa"/>
              <w:end w:w="125" w:type="dxa"/>
            </w:tcMar>
            <w:shd w:fill="F3F5F6"/>
          </w:tcPr>
          <w:p>
            <w:r>
              <w:rPr>
                <w:rFonts w:ascii="Aptos" w:hAnsi="Aptos"/>
                <w:color w:val="20272B"/>
                <w:sz w:val="16"/>
              </w:rPr>
              <w:t>Retrieve</w:t>
            </w:r>
          </w:p>
        </w:tc>
        <w:tc>
          <w:tcPr>
            <w:tcW w:type="dxa" w:w="5112"/>
            <w:vAlign w:val="center"/>
            <w:tcMar>
              <w:top w:w="105" w:type="dxa"/>
              <w:start w:w="125" w:type="dxa"/>
              <w:bottom w:w="105" w:type="dxa"/>
              <w:end w:w="125" w:type="dxa"/>
            </w:tcMar>
            <w:shd w:fill="F3F5F6"/>
          </w:tcPr>
          <w:p>
            <w:r>
              <w:rPr>
                <w:rFonts w:ascii="Aptos" w:hAnsi="Aptos"/>
                <w:color w:val="20272B"/>
                <w:sz w:val="16"/>
              </w:rPr>
              <w:t>The correct policy passage was retrieved</w:t>
            </w:r>
          </w:p>
        </w:tc>
        <w:tc>
          <w:tcPr>
            <w:tcW w:type="dxa" w:w="2664"/>
            <w:vAlign w:val="center"/>
            <w:tcMar>
              <w:top w:w="105" w:type="dxa"/>
              <w:start w:w="125" w:type="dxa"/>
              <w:bottom w:w="105" w:type="dxa"/>
              <w:end w:w="125" w:type="dxa"/>
            </w:tcMar>
            <w:shd w:fill="F3F5F6"/>
          </w:tcPr>
          <w:p>
            <w:r>
              <w:rPr>
                <w:rFonts w:ascii="Aptos" w:hAnsi="Aptos"/>
                <w:color w:val="20272B"/>
                <w:sz w:val="16"/>
              </w:rPr>
              <w:t>Retrieval passes</w:t>
            </w:r>
          </w:p>
        </w:tc>
      </w:tr>
      <w:tr>
        <w:trPr>
          <w:cantSplit/>
        </w:trPr>
        <w:tc>
          <w:tcPr>
            <w:tcW w:type="dxa" w:w="1512"/>
            <w:vAlign w:val="center"/>
            <w:tcMar>
              <w:top w:w="105" w:type="dxa"/>
              <w:start w:w="125" w:type="dxa"/>
              <w:bottom w:w="105" w:type="dxa"/>
              <w:end w:w="125" w:type="dxa"/>
            </w:tcMar>
          </w:tcPr>
          <w:p>
            <w:r>
              <w:rPr>
                <w:rFonts w:ascii="Aptos" w:hAnsi="Aptos"/>
                <w:color w:val="20272B"/>
                <w:sz w:val="16"/>
              </w:rPr>
              <w:t>Assess</w:t>
            </w:r>
          </w:p>
        </w:tc>
        <w:tc>
          <w:tcPr>
            <w:tcW w:type="dxa" w:w="5112"/>
            <w:vAlign w:val="center"/>
            <w:tcMar>
              <w:top w:w="105" w:type="dxa"/>
              <w:start w:w="125" w:type="dxa"/>
              <w:bottom w:w="105" w:type="dxa"/>
              <w:end w:w="125" w:type="dxa"/>
            </w:tcMar>
          </w:tcPr>
          <w:p>
            <w:r>
              <w:rPr>
                <w:rFonts w:ascii="Aptos" w:hAnsi="Aptos"/>
                <w:color w:val="20272B"/>
                <w:sz w:val="16"/>
              </w:rPr>
              <w:t>The response contains two claims: universal eligibility and 20 days</w:t>
            </w:r>
          </w:p>
        </w:tc>
        <w:tc>
          <w:tcPr>
            <w:tcW w:type="dxa" w:w="2664"/>
            <w:vAlign w:val="center"/>
            <w:tcMar>
              <w:top w:w="105" w:type="dxa"/>
              <w:start w:w="125" w:type="dxa"/>
              <w:bottom w:w="105" w:type="dxa"/>
              <w:end w:w="125" w:type="dxa"/>
            </w:tcMar>
          </w:tcPr>
          <w:p>
            <w:r>
              <w:rPr>
                <w:rFonts w:ascii="Aptos" w:hAnsi="Aptos"/>
                <w:color w:val="20272B"/>
                <w:sz w:val="16"/>
              </w:rPr>
              <w:t>Both contradict the source</w:t>
            </w:r>
          </w:p>
        </w:tc>
      </w:tr>
      <w:tr>
        <w:trPr>
          <w:cantSplit/>
        </w:trPr>
        <w:tc>
          <w:tcPr>
            <w:tcW w:type="dxa" w:w="1512"/>
            <w:vAlign w:val="center"/>
            <w:tcMar>
              <w:top w:w="105" w:type="dxa"/>
              <w:start w:w="125" w:type="dxa"/>
              <w:bottom w:w="105" w:type="dxa"/>
              <w:end w:w="125" w:type="dxa"/>
            </w:tcMar>
            <w:shd w:fill="F3F5F6"/>
          </w:tcPr>
          <w:p>
            <w:r>
              <w:rPr>
                <w:rFonts w:ascii="Aptos" w:hAnsi="Aptos"/>
                <w:color w:val="20272B"/>
                <w:sz w:val="16"/>
              </w:rPr>
              <w:t>Cite</w:t>
            </w:r>
          </w:p>
        </w:tc>
        <w:tc>
          <w:tcPr>
            <w:tcW w:type="dxa" w:w="5112"/>
            <w:vAlign w:val="center"/>
            <w:tcMar>
              <w:top w:w="105" w:type="dxa"/>
              <w:start w:w="125" w:type="dxa"/>
              <w:bottom w:w="105" w:type="dxa"/>
              <w:end w:w="125" w:type="dxa"/>
            </w:tcMar>
            <w:shd w:fill="F3F5F6"/>
          </w:tcPr>
          <w:p>
            <w:r>
              <w:rPr>
                <w:rFonts w:ascii="Aptos" w:hAnsi="Aptos"/>
                <w:color w:val="20272B"/>
                <w:sz w:val="16"/>
              </w:rPr>
              <w:t>The home page exists but does not support either exact claim</w:t>
            </w:r>
          </w:p>
        </w:tc>
        <w:tc>
          <w:tcPr>
            <w:tcW w:type="dxa" w:w="2664"/>
            <w:vAlign w:val="center"/>
            <w:tcMar>
              <w:top w:w="105" w:type="dxa"/>
              <w:start w:w="125" w:type="dxa"/>
              <w:bottom w:w="105" w:type="dxa"/>
              <w:end w:w="125" w:type="dxa"/>
            </w:tcMar>
            <w:shd w:fill="F3F5F6"/>
          </w:tcPr>
          <w:p>
            <w:r>
              <w:rPr>
                <w:rFonts w:ascii="Aptos" w:hAnsi="Aptos"/>
                <w:color w:val="20272B"/>
                <w:sz w:val="16"/>
              </w:rPr>
              <w:t>Citation entailment fails</w:t>
            </w:r>
          </w:p>
        </w:tc>
      </w:tr>
      <w:tr>
        <w:trPr>
          <w:cantSplit/>
        </w:trPr>
        <w:tc>
          <w:tcPr>
            <w:tcW w:type="dxa" w:w="1512"/>
            <w:vAlign w:val="center"/>
            <w:tcMar>
              <w:top w:w="105" w:type="dxa"/>
              <w:start w:w="125" w:type="dxa"/>
              <w:bottom w:w="105" w:type="dxa"/>
              <w:end w:w="125" w:type="dxa"/>
            </w:tcMar>
          </w:tcPr>
          <w:p>
            <w:r>
              <w:rPr>
                <w:rFonts w:ascii="Aptos" w:hAnsi="Aptos"/>
                <w:color w:val="20272B"/>
                <w:sz w:val="16"/>
              </w:rPr>
              <w:t>Escalate</w:t>
            </w:r>
          </w:p>
        </w:tc>
        <w:tc>
          <w:tcPr>
            <w:tcW w:type="dxa" w:w="5112"/>
            <w:vAlign w:val="center"/>
            <w:tcMar>
              <w:top w:w="105" w:type="dxa"/>
              <w:start w:w="125" w:type="dxa"/>
              <w:bottom w:w="105" w:type="dxa"/>
              <w:end w:w="125" w:type="dxa"/>
            </w:tcMar>
          </w:tcPr>
          <w:p>
            <w:r>
              <w:rPr>
                <w:rFonts w:ascii="Aptos" w:hAnsi="Aptos"/>
                <w:color w:val="20272B"/>
                <w:sz w:val="16"/>
              </w:rPr>
              <w:t>A policy number could change an employee decision</w:t>
            </w:r>
          </w:p>
        </w:tc>
        <w:tc>
          <w:tcPr>
            <w:tcW w:type="dxa" w:w="2664"/>
            <w:vAlign w:val="center"/>
            <w:tcMar>
              <w:top w:w="105" w:type="dxa"/>
              <w:start w:w="125" w:type="dxa"/>
              <w:bottom w:w="105" w:type="dxa"/>
              <w:end w:w="125" w:type="dxa"/>
            </w:tcMar>
          </w:tcPr>
          <w:p>
            <w:r>
              <w:rPr>
                <w:rFonts w:ascii="Aptos" w:hAnsi="Aptos"/>
                <w:color w:val="20272B"/>
                <w:sz w:val="16"/>
              </w:rPr>
              <w:t>Block response, log defect, route to policy owner</w:t>
            </w:r>
          </w:p>
        </w:tc>
      </w:tr>
    </w:tbl>
    <w:p>
      <w:pPr>
        <w:pStyle w:val="SmallText"/>
      </w:pPr>
    </w:p>
    <w:p>
      <w:pPr>
        <w:pStyle w:val="Heading2"/>
      </w:pPr>
      <w:r>
        <w:t>What the team should fix</w:t>
      </w:r>
    </w:p>
    <w:p>
      <w:r>
        <w:t>The trace shows that retrieval succeeded, so increasing retrieval top k is unlikely to solve this failure. The team should inspect generation constraints, claim checking, citation mapping, and the fallback used when generated facts differ from retrieved evidence. The retest should repeat the original case, paraphrases, nearby eligibility conditions, and no answer cases.</w:t>
      </w:r>
    </w:p>
    <w:p>
      <w:pPr>
        <w:pStyle w:val="Heading1"/>
      </w:pPr>
      <w:r>
        <w:t>Operating cadence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2880"/>
            <w:shd w:fill="162127"/>
            <w:vAlign w:val="center"/>
            <w:tcMar>
              <w:top w:w="115" w:type="dxa"/>
              <w:start w:w="125" w:type="dxa"/>
              <w:bottom w:w="115" w:type="dxa"/>
              <w:end w:w="125" w:type="dxa"/>
            </w:tcMar>
          </w:tcPr>
          <w:p>
            <w:pPr>
              <w:jc w:val="center"/>
            </w:pPr>
            <w:r>
              <w:rPr>
                <w:rFonts w:ascii="Aptos" w:hAnsi="Aptos"/>
                <w:b/>
                <w:color w:val="FFFFFF"/>
                <w:sz w:val="16"/>
              </w:rPr>
              <w:t>When</w:t>
            </w:r>
          </w:p>
        </w:tc>
        <w:tc>
          <w:tcPr>
            <w:tcW w:type="dxa" w:w="6408"/>
            <w:shd w:fill="162127"/>
            <w:vAlign w:val="center"/>
            <w:tcMar>
              <w:top w:w="115" w:type="dxa"/>
              <w:start w:w="125" w:type="dxa"/>
              <w:bottom w:w="115" w:type="dxa"/>
              <w:end w:w="125" w:type="dxa"/>
            </w:tcMar>
          </w:tcPr>
          <w:p>
            <w:pPr>
              <w:jc w:val="center"/>
            </w:pPr>
            <w:r>
              <w:rPr>
                <w:rFonts w:ascii="Aptos" w:hAnsi="Aptos"/>
                <w:b/>
                <w:color w:val="FFFFFF"/>
                <w:sz w:val="16"/>
              </w:rPr>
              <w:t>Minimum activity</w:t>
            </w:r>
          </w:p>
        </w:tc>
      </w:tr>
      <w:tr>
        <w:trPr>
          <w:cantSplit/>
        </w:trPr>
        <w:tc>
          <w:tcPr>
            <w:tcW w:type="dxa" w:w="2880"/>
            <w:vAlign w:val="center"/>
            <w:tcMar>
              <w:top w:w="105" w:type="dxa"/>
              <w:start w:w="125" w:type="dxa"/>
              <w:bottom w:w="105" w:type="dxa"/>
              <w:end w:w="125" w:type="dxa"/>
            </w:tcMar>
          </w:tcPr>
          <w:p>
            <w:r>
              <w:rPr>
                <w:rFonts w:ascii="Aptos" w:hAnsi="Aptos"/>
                <w:color w:val="20272B"/>
                <w:sz w:val="16"/>
              </w:rPr>
              <w:t>Before design approval</w:t>
            </w:r>
          </w:p>
        </w:tc>
        <w:tc>
          <w:tcPr>
            <w:tcW w:type="dxa" w:w="6408"/>
            <w:vAlign w:val="center"/>
            <w:tcMar>
              <w:top w:w="105" w:type="dxa"/>
              <w:start w:w="125" w:type="dxa"/>
              <w:bottom w:w="105" w:type="dxa"/>
              <w:end w:w="125" w:type="dxa"/>
            </w:tcMar>
          </w:tcPr>
          <w:p>
            <w:r>
              <w:rPr>
                <w:rFonts w:ascii="Aptos" w:hAnsi="Aptos"/>
                <w:color w:val="20272B"/>
                <w:sz w:val="16"/>
              </w:rPr>
              <w:t>Define intended use, prohibited use, evidence boundary, users, risk tiers, and accountable owners</w:t>
            </w:r>
          </w:p>
        </w:tc>
      </w:tr>
      <w:tr>
        <w:trPr>
          <w:cantSplit/>
        </w:trPr>
        <w:tc>
          <w:tcPr>
            <w:tcW w:type="dxa" w:w="2880"/>
            <w:vAlign w:val="center"/>
            <w:tcMar>
              <w:top w:w="105" w:type="dxa"/>
              <w:start w:w="125" w:type="dxa"/>
              <w:bottom w:w="105" w:type="dxa"/>
              <w:end w:w="125" w:type="dxa"/>
            </w:tcMar>
            <w:shd w:fill="F3F5F6"/>
          </w:tcPr>
          <w:p>
            <w:r>
              <w:rPr>
                <w:rFonts w:ascii="Aptos" w:hAnsi="Aptos"/>
                <w:color w:val="20272B"/>
                <w:sz w:val="16"/>
              </w:rPr>
              <w:t>Before first release</w:t>
            </w:r>
          </w:p>
        </w:tc>
        <w:tc>
          <w:tcPr>
            <w:tcW w:type="dxa" w:w="6408"/>
            <w:vAlign w:val="center"/>
            <w:tcMar>
              <w:top w:w="105" w:type="dxa"/>
              <w:start w:w="125" w:type="dxa"/>
              <w:bottom w:w="105" w:type="dxa"/>
              <w:end w:w="125" w:type="dxa"/>
            </w:tcMar>
            <w:shd w:fill="F3F5F6"/>
          </w:tcPr>
          <w:p>
            <w:r>
              <w:rPr>
                <w:rFonts w:ascii="Aptos" w:hAnsi="Aptos"/>
                <w:color w:val="20272B"/>
                <w:sz w:val="16"/>
              </w:rPr>
              <w:t>Build human labeled reference set, run risk based tests, calibrate evaluators, approve gates</w:t>
            </w:r>
          </w:p>
        </w:tc>
      </w:tr>
      <w:tr>
        <w:trPr>
          <w:cantSplit/>
        </w:trPr>
        <w:tc>
          <w:tcPr>
            <w:tcW w:type="dxa" w:w="2880"/>
            <w:vAlign w:val="center"/>
            <w:tcMar>
              <w:top w:w="105" w:type="dxa"/>
              <w:start w:w="125" w:type="dxa"/>
              <w:bottom w:w="105" w:type="dxa"/>
              <w:end w:w="125" w:type="dxa"/>
            </w:tcMar>
          </w:tcPr>
          <w:p>
            <w:r>
              <w:rPr>
                <w:rFonts w:ascii="Aptos" w:hAnsi="Aptos"/>
                <w:color w:val="20272B"/>
                <w:sz w:val="16"/>
              </w:rPr>
              <w:t>Every model or prompt change</w:t>
            </w:r>
          </w:p>
        </w:tc>
        <w:tc>
          <w:tcPr>
            <w:tcW w:type="dxa" w:w="6408"/>
            <w:vAlign w:val="center"/>
            <w:tcMar>
              <w:top w:w="105" w:type="dxa"/>
              <w:start w:w="125" w:type="dxa"/>
              <w:bottom w:w="105" w:type="dxa"/>
              <w:end w:w="125" w:type="dxa"/>
            </w:tcMar>
          </w:tcPr>
          <w:p>
            <w:r>
              <w:rPr>
                <w:rFonts w:ascii="Aptos" w:hAnsi="Aptos"/>
                <w:color w:val="20272B"/>
                <w:sz w:val="16"/>
              </w:rPr>
              <w:t>Run capability aware regression and review changed behavior by slice</w:t>
            </w:r>
          </w:p>
        </w:tc>
      </w:tr>
      <w:tr>
        <w:trPr>
          <w:cantSplit/>
        </w:trPr>
        <w:tc>
          <w:tcPr>
            <w:tcW w:type="dxa" w:w="2880"/>
            <w:vAlign w:val="center"/>
            <w:tcMar>
              <w:top w:w="105" w:type="dxa"/>
              <w:start w:w="125" w:type="dxa"/>
              <w:bottom w:w="105" w:type="dxa"/>
              <w:end w:w="125" w:type="dxa"/>
            </w:tcMar>
            <w:shd w:fill="F3F5F6"/>
          </w:tcPr>
          <w:p>
            <w:r>
              <w:rPr>
                <w:rFonts w:ascii="Aptos" w:hAnsi="Aptos"/>
                <w:color w:val="20272B"/>
                <w:sz w:val="16"/>
              </w:rPr>
              <w:t>Every knowledge update</w:t>
            </w:r>
          </w:p>
        </w:tc>
        <w:tc>
          <w:tcPr>
            <w:tcW w:type="dxa" w:w="6408"/>
            <w:vAlign w:val="center"/>
            <w:tcMar>
              <w:top w:w="105" w:type="dxa"/>
              <w:start w:w="125" w:type="dxa"/>
              <w:bottom w:w="105" w:type="dxa"/>
              <w:end w:w="125" w:type="dxa"/>
            </w:tcMar>
            <w:shd w:fill="F3F5F6"/>
          </w:tcPr>
          <w:p>
            <w:r>
              <w:rPr>
                <w:rFonts w:ascii="Aptos" w:hAnsi="Aptos"/>
                <w:color w:val="20272B"/>
                <w:sz w:val="16"/>
              </w:rPr>
              <w:t>Verify ingestion, permissions, retrieval, currency, and citation mapping</w:t>
            </w:r>
          </w:p>
        </w:tc>
      </w:tr>
      <w:tr>
        <w:trPr>
          <w:cantSplit/>
        </w:trPr>
        <w:tc>
          <w:tcPr>
            <w:tcW w:type="dxa" w:w="2880"/>
            <w:vAlign w:val="center"/>
            <w:tcMar>
              <w:top w:w="105" w:type="dxa"/>
              <w:start w:w="125" w:type="dxa"/>
              <w:bottom w:w="105" w:type="dxa"/>
              <w:end w:w="125" w:type="dxa"/>
            </w:tcMar>
          </w:tcPr>
          <w:p>
            <w:r>
              <w:rPr>
                <w:rFonts w:ascii="Aptos" w:hAnsi="Aptos"/>
                <w:color w:val="20272B"/>
                <w:sz w:val="16"/>
              </w:rPr>
              <w:t>During production</w:t>
            </w:r>
          </w:p>
        </w:tc>
        <w:tc>
          <w:tcPr>
            <w:tcW w:type="dxa" w:w="6408"/>
            <w:vAlign w:val="center"/>
            <w:tcMar>
              <w:top w:w="105" w:type="dxa"/>
              <w:start w:w="125" w:type="dxa"/>
              <w:bottom w:w="105" w:type="dxa"/>
              <w:end w:w="125" w:type="dxa"/>
            </w:tcMar>
          </w:tcPr>
          <w:p>
            <w:r>
              <w:rPr>
                <w:rFonts w:ascii="Aptos" w:hAnsi="Aptos"/>
                <w:color w:val="20272B"/>
                <w:sz w:val="16"/>
              </w:rPr>
              <w:t>Monitor quality signals, critical events, abstentions, refusals, drift, latency, and cost</w:t>
            </w:r>
          </w:p>
        </w:tc>
      </w:tr>
      <w:tr>
        <w:trPr>
          <w:cantSplit/>
        </w:trPr>
        <w:tc>
          <w:tcPr>
            <w:tcW w:type="dxa" w:w="2880"/>
            <w:vAlign w:val="center"/>
            <w:tcMar>
              <w:top w:w="105" w:type="dxa"/>
              <w:start w:w="125" w:type="dxa"/>
              <w:bottom w:w="105" w:type="dxa"/>
              <w:end w:w="125" w:type="dxa"/>
            </w:tcMar>
            <w:shd w:fill="F3F5F6"/>
          </w:tcPr>
          <w:p>
            <w:r>
              <w:rPr>
                <w:rFonts w:ascii="Aptos" w:hAnsi="Aptos"/>
                <w:color w:val="20272B"/>
                <w:sz w:val="16"/>
              </w:rPr>
              <w:t>After an incident</w:t>
            </w:r>
          </w:p>
        </w:tc>
        <w:tc>
          <w:tcPr>
            <w:tcW w:type="dxa" w:w="6408"/>
            <w:vAlign w:val="center"/>
            <w:tcMar>
              <w:top w:w="105" w:type="dxa"/>
              <w:start w:w="125" w:type="dxa"/>
              <w:bottom w:w="105" w:type="dxa"/>
              <w:end w:w="125" w:type="dxa"/>
            </w:tcMar>
            <w:shd w:fill="F3F5F6"/>
          </w:tcPr>
          <w:p>
            <w:r>
              <w:rPr>
                <w:rFonts w:ascii="Aptos" w:hAnsi="Aptos"/>
                <w:color w:val="20272B"/>
                <w:sz w:val="16"/>
              </w:rPr>
              <w:t>Contain, preserve evidence, classify failure layer, correct, retest, and update prevention controls</w:t>
            </w:r>
          </w:p>
        </w:tc>
      </w:tr>
      <w:tr>
        <w:trPr>
          <w:cantSplit/>
        </w:trPr>
        <w:tc>
          <w:tcPr>
            <w:tcW w:type="dxa" w:w="2880"/>
            <w:vAlign w:val="center"/>
            <w:tcMar>
              <w:top w:w="105" w:type="dxa"/>
              <w:start w:w="125" w:type="dxa"/>
              <w:bottom w:w="105" w:type="dxa"/>
              <w:end w:w="125" w:type="dxa"/>
            </w:tcMar>
          </w:tcPr>
          <w:p>
            <w:r>
              <w:rPr>
                <w:rFonts w:ascii="Aptos" w:hAnsi="Aptos"/>
                <w:color w:val="20272B"/>
                <w:sz w:val="16"/>
              </w:rPr>
              <w:t>Periodically</w:t>
            </w:r>
          </w:p>
        </w:tc>
        <w:tc>
          <w:tcPr>
            <w:tcW w:type="dxa" w:w="6408"/>
            <w:vAlign w:val="center"/>
            <w:tcMar>
              <w:top w:w="105" w:type="dxa"/>
              <w:start w:w="125" w:type="dxa"/>
              <w:bottom w:w="105" w:type="dxa"/>
              <w:end w:w="125" w:type="dxa"/>
            </w:tcMar>
          </w:tcPr>
          <w:p>
            <w:r>
              <w:rPr>
                <w:rFonts w:ascii="Aptos" w:hAnsi="Aptos"/>
                <w:color w:val="20272B"/>
                <w:sz w:val="16"/>
              </w:rPr>
              <w:t>Refresh test data, revalidate evaluators, review thresholds, and audit residual risk</w:t>
            </w:r>
          </w:p>
        </w:tc>
      </w:tr>
    </w:tbl>
    <w:p>
      <w:pPr>
        <w:pStyle w:val="SmallText"/>
      </w:pPr>
    </w:p>
    <w:p>
      <w:pPr>
        <w:pStyle w:val="Heading2"/>
      </w:pPr>
      <w:r>
        <w:t>Change triggers that require revalidation</w:t>
      </w:r>
    </w:p>
    <w:p>
      <w:pPr>
        <w:pStyle w:val="ListBullet"/>
        <w:spacing w:after="60"/>
      </w:pPr>
      <w:r>
        <w:t>[ ] Model, provider, model version, or inference parameter changes</w:t>
      </w:r>
    </w:p>
    <w:p>
      <w:pPr>
        <w:pStyle w:val="ListBullet"/>
        <w:spacing w:after="60"/>
      </w:pPr>
      <w:r>
        <w:t>[ ] System prompt, policy, guardrail, or tool permission changes</w:t>
      </w:r>
    </w:p>
    <w:p>
      <w:pPr>
        <w:pStyle w:val="ListBullet"/>
        <w:spacing w:after="60"/>
      </w:pPr>
      <w:r>
        <w:t>[ ] Knowledge source, chunking, embedding, ranking, or retrieval filter changes</w:t>
      </w:r>
    </w:p>
    <w:p>
      <w:pPr>
        <w:pStyle w:val="ListBullet"/>
        <w:spacing w:after="60"/>
      </w:pPr>
      <w:r>
        <w:t>[ ] New language, user group, channel, workflow, action, or risk tier</w:t>
      </w:r>
    </w:p>
    <w:p>
      <w:pPr>
        <w:pStyle w:val="ListBullet"/>
        <w:spacing w:after="60"/>
      </w:pPr>
      <w:r>
        <w:t>[ ] Material production incident, drift signal, or evaluator disagreement pattern</w:t>
      </w:r>
    </w:p>
    <w:p>
      <w:pPr>
        <w:pStyle w:val="Heading1"/>
      </w:pPr>
      <w:r>
        <w:t>References</w:t>
      </w:r>
    </w:p>
    <w:p>
      <w:pPr>
        <w:pStyle w:val="SmallText"/>
        <w:ind w:left="317" w:hanging="317"/>
      </w:pPr>
      <w:r>
        <w:t>1. National Institute of Standards and Technology. Artificial Intelligence Risk Management Framework AI RMF 1 0. NIST AI 100 1. 2023. https://doi.org/10.6028/NIST.AI.100-1</w:t>
      </w:r>
    </w:p>
    <w:p>
      <w:pPr>
        <w:pStyle w:val="SmallText"/>
        <w:ind w:left="317" w:hanging="317"/>
      </w:pPr>
      <w:r>
        <w:t>2. Autio C Schwartz R Dunietz J et al. Artificial Intelligence Risk Management Framework Generative Artificial Intelligence Profile. NIST AI 600 1. 2024. https://doi.org/10.6028/NIST.AI.600-1</w:t>
      </w:r>
    </w:p>
    <w:p>
      <w:pPr>
        <w:pStyle w:val="SmallText"/>
        <w:ind w:left="317" w:hanging="317"/>
      </w:pPr>
      <w:r>
        <w:t>3. National Institute of Standards and Technology. Assessing Risks and Impacts of AI Pilot Evaluation Report. NIST AI 700 2. 2025. https://doi.org/10.6028/NIST.AI.700-2</w:t>
      </w:r>
    </w:p>
    <w:p>
      <w:pPr>
        <w:pStyle w:val="SmallText"/>
        <w:ind w:left="317" w:hanging="317"/>
      </w:pPr>
      <w:r>
        <w:t>4. OpenAI. Evaluation best practices. OpenAI API documentation. https://platform.openai.com/docs/guides/evals</w:t>
      </w:r>
    </w:p>
    <w:p>
      <w:pPr>
        <w:pStyle w:val="SmallText"/>
        <w:ind w:left="317" w:hanging="317"/>
      </w:pPr>
      <w:r>
        <w:t>5. OpenAI. Why language models hallucinate. 2025. https://openai.com/index/why-language-models-hallucinate/</w:t>
      </w:r>
    </w:p>
    <w:p>
      <w:pPr>
        <w:pStyle w:val="SmallText"/>
        <w:ind w:left="317" w:hanging="317"/>
      </w:pPr>
      <w:r>
        <w:t>6. Microsoft. Built in evaluation metrics for generative AI. Microsoft Learn. https://learn.microsoft.com/en-us/azure/ai-foundry/concepts/evaluation-metrics-built-in</w:t>
      </w:r>
    </w:p>
    <w:p>
      <w:pPr>
        <w:pStyle w:val="SmallText"/>
        <w:ind w:left="317" w:hanging="317"/>
      </w:pPr>
      <w:r>
        <w:t>7. Es S James J Espinosa Anke L Schockaert S. RAGAS Automated Evaluation of Retrieval Augmented Generation. EACL System Demonstrations. 2024. https://aclanthology.org/2024.eacl-demo.16/</w:t>
      </w:r>
    </w:p>
    <w:p>
      <w:pPr>
        <w:pStyle w:val="SmallText"/>
        <w:ind w:left="317" w:hanging="317"/>
      </w:pPr>
      <w:r>
        <w:t>8. Manakul P Liusie A Gales M. SelfCheckGPT Zero Resource Black Box Hallucination Detection for Generative Large Language Models. EMNLP. 2023. https://aclanthology.org/2023.emnlp-main.557/</w:t>
      </w:r>
    </w:p>
    <w:p>
      <w:pPr>
        <w:pStyle w:val="SmallText"/>
        <w:ind w:left="317" w:hanging="317"/>
      </w:pPr>
      <w:r>
        <w:t>9. Saad Falana B et al. ARES An Automated Evaluation Framework for Retrieval Augmented Generation Systems. NAACL. 2024. https://aclanthology.org/2024.naacl-long.20/</w:t>
      </w:r>
    </w:p>
    <w:p>
      <w:pPr>
        <w:pStyle w:val="SmallText"/>
        <w:ind w:left="317" w:hanging="317"/>
      </w:pPr>
      <w:r>
        <w:t>10. Menick J Trebacz M Mikulik V et al. Teaching Language Models to Support Answers with Verified Quotes. 2022. https://arxiv.org/abs/2203.11147</w:t>
      </w:r>
    </w:p>
    <w:p>
      <w:pPr>
        <w:pStyle w:val="SmallText"/>
        <w:ind w:left="317" w:hanging="317"/>
      </w:pPr>
      <w:r>
        <w:t>11. Zheng L Chiang W L Sheng Y et al. Judging LLM as a Judge with MT Bench and Chatbot Arena. NeurIPS Datasets and Benchmarks. 2023. https://arxiv.org/abs/2306.05685</w:t>
      </w:r>
    </w:p>
    <w:p>
      <w:pPr>
        <w:pStyle w:val="SmallText"/>
        <w:ind w:left="317" w:hanging="317"/>
      </w:pPr>
      <w:r>
        <w:t>12. OWASP GenAI Security Project. Top 10 for LLM and Generative AI Applications. https://genai.owasp.org/llm-top-10/</w:t>
      </w:r>
    </w:p>
    <w:p>
      <w:pPr>
        <w:pStyle w:val="SmallText"/>
      </w:pPr>
      <w:r>
        <w:t>Reference scope  These sources inform the risk, evaluation, grounding, citation, retrieval, and security principles in this toolkit. The templates and workflow are a practical synthesis and should be tailored to the organization and use case.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A70"/>
        <w:sz w:val="16"/>
      </w:rPr>
      <w:t xml:space="preserve">TRACE AI Quality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67D76"/>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7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ext">
    <w:name w:val="Prompt Text"/>
    <w:pPr>
      <w:spacing w:after="80" w:line="252" w:lineRule="auto"/>
      <w:ind w:left="317" w:right="173"/>
    </w:pPr>
    <w:rPr>
      <w:rFonts w:ascii="Aptos Mono" w:hAnsi="Aptos Mono"/>
      <w:color w:val="162127"/>
      <w:sz w:val="17"/>
    </w:rPr>
  </w:style>
  <w:style w:type="paragraph" w:customStyle="1" w:styleId="SmallText">
    <w:name w:val="Small Text"/>
    <w:pPr>
      <w:spacing w:after="80"/>
    </w:pPr>
    <w:rPr>
      <w:rFonts w:ascii="Aptos" w:hAnsi="Aptos"/>
      <w:color w:val="5E6A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AI Release and Reporting Templates</dc:title>
  <dc:subject>Focused resource from the TRACE AI Response Quality Toolkit</dc:subject>
  <dc:creator>Nikhila Gulakaram</dc:creator>
  <cp:keywords>AI quality, LLM testing, prompt evaluation, RAG, citations, hallucinations, release testing</cp:keywords>
  <dc:description>Version 1.0</dc:description>
  <cp:lastModifiedBy/>
  <cp:revision>1</cp:revision>
  <dcterms:created xsi:type="dcterms:W3CDTF">2013-12-23T23:15:00Z</dcterms:created>
  <dcterms:modified xsi:type="dcterms:W3CDTF">2013-12-23T23:15:00Z</dcterms:modified>
  <cp:category/>
</cp:coreProperties>
</file>